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1500"/>
        <w:gridCol w:w="7206"/>
        <w:gridCol w:w="1500"/>
      </w:tblGrid>
      <w:tr>
        <w:tc>
          <w:tcPr>
            <w:tcW w:type="dxa" w:w="1500"/>
            <w:tcMar>
              <w:top w:type="dxa" w:w="60"/>
              <w:left w:type="dxa" w:w="100"/>
              <w:bottom w:type="dxa" w:w="60"/>
              <w:right w:type="dxa" w:w="100"/>
            </w:tcMar>
            <w:vAlign w:val="center"/>
          </w:tcPr>
          <w:p>
            <w:pPr>
              <w:jc w:val="center"/>
            </w:pPr>
            <w:r>
              <w:drawing>
                <wp:inline distT="0" distB="0" distL="0" distR="0">
                  <wp:extent cx="628650" cy="628650"/>
                  <wp:effectExtent t="0" r="0" b="0" l="0"/>
                  <wp:docPr id="1" name="logo-jppp" descr="Logo JPPP FKIP UMPR" title="Logo JP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628650" cy="628650"/>
                          </a:xfrm>
                          <a:prstGeom prst="rect">
                            <a:avLst/>
                          </a:prstGeom>
                        </pic:spPr>
                      </pic:pic>
                    </a:graphicData>
                  </a:graphic>
                </wp:inline>
              </w:drawing>
            </w:r>
          </w:p>
        </w:tc>
        <w:tc>
          <w:tcPr>
            <w:tcW w:type="dxa" w:w="7206"/>
            <w:tcMar>
              <w:top w:type="dxa" w:w="60"/>
              <w:left w:type="dxa" w:w="100"/>
              <w:bottom w:type="dxa" w:w="60"/>
              <w:right w:type="dxa" w:w="100"/>
            </w:tcMar>
            <w:vAlign w:val="center"/>
          </w:tcPr>
          <w:p>
            <w:pPr>
              <w:spacing w:after="40"/>
              <w:jc w:val="center"/>
            </w:pPr>
            <w:r>
              <w:rPr>
                <w:rFonts w:ascii="Gill Sans MT" w:cs="Gill Sans MT" w:eastAsia="Gill Sans MT" w:hAnsi="Gill Sans MT"/>
                <w:b/>
                <w:bCs/>
                <w:sz w:val="28"/>
                <w:szCs w:val="28"/>
              </w:rPr>
              <w:t xml:space="preserve">JPPP</w:t>
            </w:r>
          </w:p>
          <w:p>
            <w:pPr>
              <w:spacing w:after="40"/>
              <w:jc w:val="center"/>
            </w:pPr>
            <w:r>
              <w:rPr>
                <w:rFonts w:ascii="Gill Sans MT" w:cs="Gill Sans MT" w:eastAsia="Gill Sans MT" w:hAnsi="Gill Sans MT"/>
                <w:b/>
                <w:bCs/>
                <w:sz w:val="22"/>
                <w:szCs w:val="22"/>
              </w:rPr>
              <w:t xml:space="preserve">Jurnal Perspektif Penelitian Pendidikan</w:t>
            </w:r>
          </w:p>
          <w:p>
            <w:pPr>
              <w:spacing w:after="40"/>
              <w:jc w:val="center"/>
            </w:pPr>
            <w:r>
              <w:rPr>
                <w:rFonts w:ascii="Gill Sans MT" w:cs="Gill Sans MT" w:eastAsia="Gill Sans MT" w:hAnsi="Gill Sans MT"/>
                <w:sz w:val="18"/>
                <w:szCs w:val="18"/>
              </w:rPr>
              <w:t xml:space="preserve">Volume XX, Nomor XX, 2026, Halaman XX–XX</w:t>
            </w:r>
          </w:p>
          <w:p>
            <w:pPr>
              <w:jc w:val="center"/>
            </w:pPr>
            <w:r>
              <w:rPr>
                <w:rFonts w:ascii="Gill Sans MT" w:cs="Gill Sans MT" w:eastAsia="Gill Sans MT" w:hAnsi="Gill Sans MT"/>
                <w:b/>
                <w:bCs/>
                <w:sz w:val="18"/>
                <w:szCs w:val="18"/>
              </w:rPr>
              <w:t xml:space="preserve">ISSN: XXX.XXX; e-ISSN: XXX.XXX</w:t>
            </w:r>
          </w:p>
        </w:tc>
        <w:tc>
          <w:tcPr>
            <w:tcW w:type="dxa" w:w="1500"/>
            <w:tcMar>
              <w:top w:type="dxa" w:w="60"/>
              <w:left w:type="dxa" w:w="100"/>
              <w:bottom w:type="dxa" w:w="60"/>
              <w:right w:type="dxa" w:w="100"/>
            </w:tcMar>
            <w:vAlign w:val="center"/>
          </w:tcPr>
          <w:p>
            <w:pPr>
              <w:jc w:val="center"/>
            </w:pPr>
            <w:r>
              <w:drawing>
                <wp:inline distT="0" distB="0" distL="0" distR="0">
                  <wp:extent cx="457200" cy="647700"/>
                  <wp:effectExtent t="0" r="0" b="0" l="0"/>
                  <wp:docPr id="1" name="sampul-jppp" descr="Sampul Jurnal Perspektif Penelitian Pendidikan" title="Sampul JP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57200" cy="647700"/>
                          </a:xfrm>
                          <a:prstGeom prst="rect">
                            <a:avLst/>
                          </a:prstGeom>
                        </pic:spPr>
                      </pic:pic>
                    </a:graphicData>
                  </a:graphic>
                </wp:inline>
              </w:drawing>
            </w:r>
          </w:p>
        </w:tc>
      </w:tr>
    </w:tbl>
    <w:p>
      <w:pPr>
        <w:spacing w:after="200" w:before="240" w:line="276" w:lineRule="auto"/>
        <w:jc w:val="center"/>
      </w:pPr>
      <w:r>
        <w:rPr>
          <w:rFonts w:ascii="Gill Sans MT" w:cs="Gill Sans MT" w:eastAsia="Gill Sans MT" w:hAnsi="Gill Sans MT"/>
          <w:b/>
          <w:bCs/>
          <w:sz w:val="24"/>
          <w:szCs w:val="24"/>
        </w:rPr>
        <w:t xml:space="preserve">Analisis Kesulitan Membaca pada Siswa: Studi Kasus Kualitatif Siswa Kelas III</w:t>
      </w:r>
    </w:p>
    <w:p>
      <w:pPr>
        <w:spacing w:after="80"/>
        <w:jc w:val="center"/>
      </w:pPr>
      <w:r>
        <w:rPr>
          <w:rFonts w:ascii="Gill Sans MT" w:cs="Gill Sans MT" w:eastAsia="Gill Sans MT" w:hAnsi="Gill Sans MT"/>
        </w:rPr>
        <w:t xml:space="preserve">Purwanti</w:t>
      </w:r>
      <w:r>
        <w:rPr>
          <w:rFonts w:ascii="Gill Sans MT" w:cs="Gill Sans MT" w:eastAsia="Gill Sans MT" w:hAnsi="Gill Sans MT"/>
          <w:vertAlign w:val="superscript"/>
        </w:rPr>
        <w:t xml:space="preserve">1</w:t>
      </w:r>
    </w:p>
    <w:p>
      <w:pPr>
        <w:spacing w:after="40"/>
        <w:jc w:val="center"/>
      </w:pPr>
      <w:r>
        <w:rPr>
          <w:rFonts w:ascii="Gill Sans MT" w:cs="Gill Sans MT" w:eastAsia="Gill Sans MT" w:hAnsi="Gill Sans MT"/>
          <w:sz w:val="20"/>
          <w:szCs w:val="20"/>
        </w:rPr>
        <w:t xml:space="preserve">1 SDN Trisari 3, Desa Mantaren II, Kecamatan Kahayan Hilir, Kabupaten Pulang Pisau, Kalimantan Tengah, Indonesia</w:t>
      </w:r>
    </w:p>
    <w:p>
      <w:pPr>
        <w:spacing w:after="200"/>
        <w:jc w:val="center"/>
      </w:pPr>
      <w:r>
        <w:rPr>
          <w:rFonts w:ascii="Gill Sans MT" w:cs="Gill Sans MT" w:eastAsia="Gill Sans MT" w:hAnsi="Gill Sans MT"/>
          <w:sz w:val="20"/>
          <w:szCs w:val="20"/>
        </w:rPr>
        <w:t xml:space="preserve">Email: purwantilivinza@gmail.com</w:t>
      </w:r>
    </w:p>
    <w:tbl>
      <w:tblPr>
        <w:tblW w:type="dxa" w:w="10206"/>
        <w:tblBorders>
          <w:top w:val="single" w:color="000000" w:sz="4"/>
          <w:left w:val="single" w:color="000000" w:sz="4"/>
          <w:bottom w:val="single" w:color="000000" w:sz="4"/>
          <w:right w:val="single" w:color="000000" w:sz="4"/>
          <w:insideH w:val="single" w:color="000000" w:sz="4"/>
          <w:insideV w:val="single" w:color="000000" w:sz="4"/>
        </w:tblBorders>
      </w:tblPr>
      <w:tblGrid>
        <w:gridCol w:w="1700"/>
        <w:gridCol w:w="8506"/>
      </w:tblGrid>
      <w:tr>
        <w:tc>
          <w:tcPr>
            <w:tcW w:type="dxa" w:w="1700"/>
            <w:shd w:fill="F5F3F8" w:val="clear"/>
            <w:tcMar>
              <w:top w:type="dxa" w:w="60"/>
              <w:left w:type="dxa" w:w="100"/>
              <w:bottom w:type="dxa" w:w="60"/>
              <w:right w:type="dxa" w:w="100"/>
            </w:tcMar>
            <w:vAlign w:val="center"/>
          </w:tcPr>
          <w:p>
            <w:pPr>
              <w:jc w:val="center"/>
            </w:pPr>
            <w:r>
              <w:rPr>
                <w:rFonts w:ascii="Gill Sans MT" w:cs="Gill Sans MT" w:eastAsia="Gill Sans MT" w:hAnsi="Gill Sans MT"/>
                <w:b/>
                <w:bCs/>
                <w:sz w:val="18"/>
                <w:szCs w:val="18"/>
              </w:rPr>
              <w:t xml:space="preserve">Informasi Artikel</w:t>
            </w:r>
          </w:p>
        </w:tc>
        <w:tc>
          <w:tcPr>
            <w:tcW w:type="dxa" w:w="8506"/>
            <w:shd w:fill="F5F3F8" w:val="clear"/>
            <w:tcMar>
              <w:top w:type="dxa" w:w="60"/>
              <w:left w:type="dxa" w:w="100"/>
              <w:bottom w:type="dxa" w:w="60"/>
              <w:right w:type="dxa" w:w="100"/>
            </w:tcMar>
          </w:tcPr>
          <w:p>
            <w:pPr>
              <w:jc w:val="center"/>
            </w:pPr>
            <w:r>
              <w:rPr>
                <w:rFonts w:ascii="Gill Sans MT" w:cs="Gill Sans MT" w:eastAsia="Gill Sans MT" w:hAnsi="Gill Sans MT"/>
                <w:b/>
                <w:bCs/>
                <w:sz w:val="18"/>
                <w:szCs w:val="18"/>
              </w:rPr>
              <w:t xml:space="preserve">ABSTRAK</w:t>
            </w:r>
          </w:p>
        </w:tc>
      </w:tr>
      <w:tr>
        <w:tc>
          <w:tcPr>
            <w:tcW w:type="dxa" w:w="1700"/>
            <w:tcMar>
              <w:top w:type="dxa" w:w="60"/>
              <w:left w:type="dxa" w:w="100"/>
              <w:bottom w:type="dxa" w:w="60"/>
              <w:right w:type="dxa" w:w="100"/>
            </w:tcMar>
          </w:tcPr>
          <w:p>
            <w:pPr>
              <w:spacing w:after="40"/>
            </w:pPr>
            <w:r>
              <w:rPr>
                <w:rFonts w:ascii="Gill Sans MT" w:cs="Gill Sans MT" w:eastAsia="Gill Sans MT" w:hAnsi="Gill Sans MT"/>
                <w:sz w:val="18"/>
                <w:szCs w:val="18"/>
              </w:rPr>
              <w:t xml:space="preserve">Diterima:</w:t>
            </w:r>
          </w:p>
          <w:p>
            <w:pPr>
              <w:spacing w:after="120"/>
            </w:pPr>
            <w:r>
              <w:rPr>
                <w:rFonts w:ascii="Gill Sans MT" w:cs="Gill Sans MT" w:eastAsia="Gill Sans MT" w:hAnsi="Gill Sans MT"/>
                <w:sz w:val="18"/>
                <w:szCs w:val="18"/>
              </w:rPr>
              <w:t xml:space="preserve">XX.XX.XXXX</w:t>
            </w:r>
          </w:p>
          <w:p>
            <w:pPr>
              <w:spacing w:after="40"/>
            </w:pPr>
            <w:r>
              <w:rPr>
                <w:rFonts w:ascii="Gill Sans MT" w:cs="Gill Sans MT" w:eastAsia="Gill Sans MT" w:hAnsi="Gill Sans MT"/>
                <w:i/>
                <w:iCs/>
                <w:sz w:val="18"/>
                <w:szCs w:val="18"/>
              </w:rPr>
              <w:t xml:space="preserve">Revisi:</w:t>
            </w:r>
          </w:p>
          <w:p>
            <w:pPr>
              <w:spacing w:after="120"/>
            </w:pPr>
            <w:r>
              <w:rPr>
                <w:rFonts w:ascii="Gill Sans MT" w:cs="Gill Sans MT" w:eastAsia="Gill Sans MT" w:hAnsi="Gill Sans MT"/>
                <w:sz w:val="18"/>
                <w:szCs w:val="18"/>
              </w:rPr>
              <w:t xml:space="preserve">XX.XX.XXXX</w:t>
            </w:r>
          </w:p>
          <w:p>
            <w:pPr>
              <w:spacing w:after="40"/>
            </w:pPr>
            <w:r>
              <w:rPr>
                <w:rFonts w:ascii="Gill Sans MT" w:cs="Gill Sans MT" w:eastAsia="Gill Sans MT" w:hAnsi="Gill Sans MT"/>
                <w:i/>
                <w:iCs/>
                <w:sz w:val="18"/>
                <w:szCs w:val="18"/>
              </w:rPr>
              <w:t xml:space="preserve">Publikasi:</w:t>
            </w:r>
          </w:p>
          <w:p>
            <w:r>
              <w:rPr>
                <w:rFonts w:ascii="Gill Sans MT" w:cs="Gill Sans MT" w:eastAsia="Gill Sans MT" w:hAnsi="Gill Sans MT"/>
                <w:sz w:val="18"/>
                <w:szCs w:val="18"/>
              </w:rPr>
              <w:t xml:space="preserve">XX.XX.XXXX</w:t>
            </w:r>
          </w:p>
        </w:tc>
        <w:tc>
          <w:tcPr>
            <w:tcW w:type="dxa" w:w="8506"/>
            <w:tcMar>
              <w:top w:type="dxa" w:w="60"/>
              <w:left w:type="dxa" w:w="100"/>
              <w:bottom w:type="dxa" w:w="60"/>
              <w:right w:type="dxa" w:w="100"/>
            </w:tcMar>
          </w:tcPr>
          <w:p>
            <w:pPr>
              <w:spacing w:after="60" w:line="240" w:lineRule="auto"/>
              <w:jc w:val="both"/>
            </w:pPr>
            <w:r>
              <w:rPr>
                <w:rFonts w:ascii="Gill Sans MT" w:cs="Gill Sans MT" w:eastAsia="Gill Sans MT" w:hAnsi="Gill Sans MT"/>
                <w:sz w:val="18"/>
                <w:szCs w:val="18"/>
              </w:rPr>
              <w:t xml:space="preserve">Kemampuan membaca merupakan fondasi utama keberhasilan belajar siswa sekolah dasar, namun di lapangan masih ditemukan siswa kelas III yang belum mampu membaca secara lancar. Penelitian ini bertujuan menganalisis bentuk-bentuk kesulitan membaca dan faktor penyebabnya pada seorang siswa kelas III sekolah dasar. Penelitian menggunakan pendekatan kualitatif dengan jenis studi kasus. Subjek penelitian adalah seorang siswa kelas III berinisial NA yang dipilih secara purposive. Data dikumpulkan melalui observasi, wawancara semi-terstruktur dengan guru kelas dan orang tua, tes membaca permulaan, serta dokumentasi, kemudian dianalisis melalui reduksi data, penyajian data, dan penarikan kesimpulan dengan triangulasi sumber dan teknik. Hasil penelitian menunjukkan bahwa subjek mengalami kesulitan pada seluruh indikator membaca, yaitu mengenal huruf (tertukar huruf b dengan d serta p dengan q), membaca suku kata (mengeja lambat dan menghilangkan huruf akhir), membaca kata (terbata-bata dan menebak kata), membaca kalimat (tidak lancar dan banyak pengulangan), serta memahami isi bacaan. Tingkat kesulitan tertinggi terdapat pada aspek membaca kata dan membaca kalimat. Kesulitan tersebut dipengaruhi faktor internal berupa kesadaran fonologis yang lemah, minat membaca yang rendah, dan kurangnya rasa percaya diri, serta faktor eksternal berupa keterbatasan pendampingan orang tua, pembelajaran klasikal, dan minimnya media baca yang menarik. Temuan ini mengisyaratkan perlunya intervensi membaca terindividualisasi melalui kolaborasi guru dan orang tua.</w:t>
            </w:r>
          </w:p>
          <w:p>
            <w:pPr>
              <w:spacing w:after="120" w:line="240" w:lineRule="auto"/>
            </w:pPr>
            <w:r>
              <w:rPr>
                <w:rFonts w:ascii="Gill Sans MT" w:cs="Gill Sans MT" w:eastAsia="Gill Sans MT" w:hAnsi="Gill Sans MT"/>
                <w:b/>
                <w:bCs/>
                <w:sz w:val="18"/>
                <w:szCs w:val="18"/>
              </w:rPr>
              <w:t xml:space="preserve">Kata kunci: </w:t>
            </w:r>
            <w:r>
              <w:rPr>
                <w:rFonts w:ascii="Gill Sans MT" w:cs="Gill Sans MT" w:eastAsia="Gill Sans MT" w:hAnsi="Gill Sans MT"/>
                <w:sz w:val="18"/>
                <w:szCs w:val="18"/>
              </w:rPr>
              <w:t xml:space="preserve">kesulitan membaca; membaca permulaan; studi kasus; siswa kelas III</w:t>
            </w:r>
          </w:p>
          <w:p>
            <w:pPr>
              <w:spacing w:after="60" w:line="240" w:lineRule="auto"/>
              <w:jc w:val="both"/>
            </w:pPr>
            <w:r>
              <w:rPr>
                <w:rFonts w:ascii="Gill Sans MT" w:cs="Gill Sans MT" w:eastAsia="Gill Sans MT" w:hAnsi="Gill Sans MT"/>
                <w:i/>
                <w:iCs/>
                <w:sz w:val="18"/>
                <w:szCs w:val="18"/>
              </w:rPr>
              <w:t xml:space="preserve">Reading ability is the main foundation of elementary school students' learning success, yet some third-grade students are still unable to read fluently. This study aimed to analyze the forms of reading difficulties and their causal factors in a third-grade elementary school student. A qualitative approach with a case study design was employed. The subject was a third-grade student identified as NA, selected purposively. Data were collected through observation, semi-structured interviews with the classroom teacher and parents, a beginning reading test, and documentation, and were analyzed through data reduction, data display, and conclusion drawing with source and technique triangulation. The results show that the subject experienced difficulties across all reading indicators: letter recognition (confusing b with d and p with q), syllable reading (slow spelling and dropping final letters), word reading (halting and guessing words), sentence reading (disfluent with frequent repetition), and reading comprehension. The highest difficulty levels were found in word and sentence reading. These difficulties were influenced by internal factors, namely weak phonological awareness, low reading interest, and low self-confidence, as well as external factors, namely limited parental assistance, whole-class instruction, and a lack of engaging reading media. The findings imply the need for individualized reading intervention through teacher-parent collaboration.</w:t>
            </w:r>
          </w:p>
          <w:p>
            <w:pPr>
              <w:spacing w:line="240" w:lineRule="auto"/>
            </w:pPr>
            <w:r>
              <w:rPr>
                <w:rFonts w:ascii="Gill Sans MT" w:cs="Gill Sans MT" w:eastAsia="Gill Sans MT" w:hAnsi="Gill Sans MT"/>
                <w:b/>
                <w:bCs/>
                <w:sz w:val="18"/>
                <w:szCs w:val="18"/>
              </w:rPr>
              <w:t xml:space="preserve">Keywords: </w:t>
            </w:r>
            <w:r>
              <w:rPr>
                <w:rFonts w:ascii="Gill Sans MT" w:cs="Gill Sans MT" w:eastAsia="Gill Sans MT" w:hAnsi="Gill Sans MT"/>
                <w:i/>
                <w:iCs/>
                <w:sz w:val="18"/>
                <w:szCs w:val="18"/>
              </w:rPr>
              <w:t xml:space="preserve">reading difficulty; beginning reading; case study; third-grade student</w:t>
            </w:r>
          </w:p>
        </w:tc>
      </w:tr>
      <w:tr>
        <w:trPr>
          <w:cantSplit/>
        </w:trPr>
        <w:tc>
          <w:tcPr>
            <w:tcW w:type="dxa" w:w="1700"/>
            <w:tcMar>
              <w:top w:type="dxa" w:w="60"/>
              <w:left w:type="dxa" w:w="100"/>
              <w:bottom w:type="dxa" w:w="60"/>
              <w:right w:type="dxa" w:w="100"/>
            </w:tcMar>
          </w:tcPr>
          <w:p>
            <w:r>
              <w:rPr>
                <w:rFonts w:ascii="Gill Sans MT" w:cs="Gill Sans MT" w:eastAsia="Gill Sans MT" w:hAnsi="Gill Sans MT"/>
                <w:sz w:val="18"/>
                <w:szCs w:val="18"/>
              </w:rPr>
              <w:t xml:space="preserve">doi:</w:t>
            </w:r>
            <w:r>
              <w:rPr>
                <w:rFonts w:ascii="Gill Sans MT" w:cs="Gill Sans MT" w:eastAsia="Gill Sans MT" w:hAnsi="Gill Sans MT"/>
                <w:sz w:val="18"/>
                <w:szCs w:val="18"/>
              </w:rPr>
              <w:t xml:space="preserve"> -</w:t>
            </w:r>
          </w:p>
        </w:tc>
        <w:tc>
          <w:tcPr>
            <w:tcW w:type="dxa" w:w="8506"/>
            <w:tcMar>
              <w:top w:type="dxa" w:w="60"/>
              <w:left w:type="dxa" w:w="100"/>
              <w:bottom w:type="dxa" w:w="60"/>
              <w:right w:type="dxa" w:w="100"/>
            </w:tcMar>
          </w:tcPr>
          <w:p>
            <w:r>
              <w:rPr>
                <w:rFonts w:ascii="Gill Sans MT" w:cs="Gill Sans MT" w:eastAsia="Gill Sans MT" w:hAnsi="Gill Sans MT"/>
                <w:sz w:val="18"/>
                <w:szCs w:val="18"/>
              </w:rPr>
              <w:t xml:space="preserve">Bidang: Pendidikan Guru Sekolah Dasar</w:t>
            </w:r>
          </w:p>
        </w:tc>
      </w:tr>
      <w:tr>
        <w:trPr>
          <w:cantSplit/>
        </w:trPr>
        <w:tc>
          <w:tcPr>
            <w:tcW w:type="dxa" w:w="10206"/>
            <w:gridSpan w:val="2"/>
            <w:tcMar>
              <w:top w:type="dxa" w:w="60"/>
              <w:left w:type="dxa" w:w="100"/>
              <w:bottom w:type="dxa" w:w="60"/>
              <w:right w:type="dxa" w:w="100"/>
            </w:tcMar>
          </w:tcPr>
          <w:p>
            <w:r>
              <w:rPr>
                <w:rFonts w:ascii="Gill Sans MT" w:cs="Gill Sans MT" w:eastAsia="Gill Sans MT" w:hAnsi="Gill Sans MT"/>
                <w:b/>
                <w:bCs/>
                <w:sz w:val="18"/>
                <w:szCs w:val="18"/>
              </w:rPr>
              <w:t xml:space="preserve">Informasi sitasi: </w:t>
            </w:r>
            <w:r>
              <w:rPr>
                <w:rFonts w:ascii="Gill Sans MT" w:cs="Gill Sans MT" w:eastAsia="Gill Sans MT" w:hAnsi="Gill Sans MT"/>
                <w:sz w:val="18"/>
                <w:szCs w:val="18"/>
              </w:rPr>
              <w:t xml:space="preserve">Editor akan memberikan informasi kutipan artikel sesuai dengan APA 7 setelah diterima. Oleh karena itu, Anda dapat mengosongkan bagian ini.</w:t>
            </w:r>
          </w:p>
        </w:tc>
      </w:tr>
    </w:tbl>
    <w:p>
      <w:pPr>
        <w:sectPr>
          <w:headerReference w:type="default" r:id="rId7"/>
          <w:headerReference w:type="first" r:id="rId8"/>
          <w:footerReference w:type="default" r:id="rId9"/>
          <w:footerReference w:type="first" r:id="rId10"/>
          <w:pgSz w:w="11906" w:h="16838" w:orient="portrait"/>
          <w:pgMar w:top="1417" w:right="850" w:bottom="1417" w:left="850" w:header="708" w:footer="708" w:gutter="0"/>
          <w:pgNumType/>
          <w:titlePg/>
          <w:docGrid w:linePitch="360"/>
        </w:sectPr>
      </w:pPr>
    </w:p>
    <w:p>
      <w:pPr>
        <w:spacing w:after="120" w:before="200" w:line="276" w:lineRule="auto"/>
      </w:pPr>
      <w:r>
        <w:rPr>
          <w:rFonts w:ascii="Gill Sans MT" w:cs="Gill Sans MT" w:eastAsia="Gill Sans MT" w:hAnsi="Gill Sans MT"/>
          <w:b/>
          <w:bCs/>
        </w:rPr>
        <w:t xml:space="preserve">PENDAHULUAN</w:t>
      </w:r>
    </w:p>
    <w:p>
      <w:pPr>
        <w:spacing w:after="120" w:line="276" w:lineRule="auto"/>
        <w:jc w:val="both"/>
      </w:pPr>
      <w:r>
        <w:rPr>
          <w:rFonts w:ascii="Gill Sans MT" w:cs="Gill Sans MT" w:eastAsia="Gill Sans MT" w:hAnsi="Gill Sans MT"/>
        </w:rPr>
        <w:t xml:space="preserve">Membaca merupakan keterampilan berbahasa yang menjadi fondasi utama keberhasilan belajar siswa sekolah dasar, karena hampir seluruh materi pelajaran menuntut kemampuan memahami informasi tertulis (Noveliana &amp; Ghani, 2022). Pada jenjang kelas III, siswa sesungguhnya telah memasuki tahap membaca lanjut yang ditandai dengan kelancaran membaca kalimat dan kemampuan memahami isi bacaan (Chall, 1983); namun kenyataan di lapangan menunjukkan masih terdapat siswa kelas III yang belum mencapai tahap tersebut. Kondisi demikian dialami oleh seorang siswa kelas III di SDN Trisari 3, Desa Mantaren II, Kecamatan Kahayan Hilir, Kabupaten Pulang Pisau, sebut saja NA, berusia sembilan tahun. Berdasarkan hasil observasi awal dan keterangan guru kelas, NA membaca dengan sangat perlahan dan terbata-bata, sering tertukar dalam mengenali huruf-huruf yang bentuknya mirip seperti huruf b dengan d serta p dengan q, kerap menghilangkan huruf akhir ketika mengeja suku kata, mengulang kalimat yang dibacanya, serta belum mampu menjawab pertanyaan sederhana berkaitan dengan isi bacaan, sehingga ia tampak enggan membaca di depan teman-temannya dan cenderung pasif dalam pembelajaran. Kesulitan yang dialami NA tersebut dapat dirujuk pada indikator kesulitan membaca yang meliputi: (1) kesulitan mengenal huruf; (2) kesulitan membaca suku kata; (3) kesulitan membaca kata; (4) kesulitan membaca kalimat secara lancar; dan (5) kesulitan memahami isi bacaan (Ain &amp; Ain, 2024; Prayogo &amp; Citrawati, 2023; Safarida et al., 2022). Sejumlah penelitian terdahulu telah mengkaji kesulitan membaca siswa sekolah dasar, antara lain Khairurrazikin dan Yuliawati (2023) yang menemukan dominasi kesulitan pada aspek membaca kata dan pemahaman bacaan siswa kelas III, Borusilaban dan Harsiwi (2023) yang memetakan faktor penghambat membaca permulaan siswa kelas awal, serta Lestari dan Ramadan (2024) yang menekankan peran faktor lingkungan keluarga; akan tetapi, penelitian-penelitian tersebut umumnya dilakukan pada kelompok siswa dan belum banyak yang memotret secara mendalam satu kasus individual pada siswa kelas III beserta kondisi kesehariannya (Astri &amp; Amalia, 2024). Oleh karena itu, kebaruan penelitian ini terletak pada analisis mendalam terhadap satu kasus kesulitan membaca siswa kelas III yang tidak hanya mendeskripsikan bentuk-bentuk kesulitan berdasarkan indikator, tetapi juga mengungkap kondisi anak secara utuh serta faktor-faktor yang melatarbelakanginya. Bertolak dari hal tersebut, penelitian ini bertujuan untuk menganalisis bentuk-bentuk kesulitan membaca dan faktor penyebab kesulitan membaca pada siswa kelas III sekolah dasar melalui studi kasus kualitatif.</w:t>
      </w:r>
    </w:p>
    <w:p>
      <w:pPr>
        <w:spacing w:after="120" w:before="200" w:line="276" w:lineRule="auto"/>
      </w:pPr>
      <w:r>
        <w:rPr>
          <w:rFonts w:ascii="Gill Sans MT" w:cs="Gill Sans MT" w:eastAsia="Gill Sans MT" w:hAnsi="Gill Sans MT"/>
          <w:b/>
          <w:bCs/>
        </w:rPr>
        <w:t xml:space="preserve">METODE</w:t>
      </w:r>
    </w:p>
    <w:p>
      <w:pPr>
        <w:spacing w:after="120" w:line="276" w:lineRule="auto"/>
        <w:jc w:val="both"/>
      </w:pPr>
      <w:r>
        <w:rPr>
          <w:rFonts w:ascii="Gill Sans MT" w:cs="Gill Sans MT" w:eastAsia="Gill Sans MT" w:hAnsi="Gill Sans MT"/>
        </w:rPr>
        <w:t xml:space="preserve">Penelitian ini menggunakan pendekatan kualitatif dengan jenis penelitian studi kasus karena bertujuan memahami secara mendalam fenomena kesulitan membaca yang dialami satu individu dalam konteks nyata kesehariannya (Creswell &amp; Poth, 2018). Penelitian dilaksanakan pada semester genap tahun ajaran 2025/2026 di SDN Trisari 3, Desa Mantaren II, Kecamatan Kahayan Hilir, Kabupaten Pulang Pisau, Kalimantan Tengah. Subjek penelitian adalah seorang siswa kelas III berinisial NA yang dipilih secara purposive berdasarkan informasi guru kelas bahwa yang bersangkutan menunjukkan kesulitan membaca yang paling menonjol di kelasnya. Informan pendukung penelitian meliputi guru kelas III dan orang tua subjek.</w:t>
      </w:r>
    </w:p>
    <w:p>
      <w:pPr>
        <w:spacing w:after="120" w:line="276" w:lineRule="auto"/>
        <w:jc w:val="both"/>
      </w:pPr>
      <w:r>
        <w:rPr>
          <w:rFonts w:ascii="Gill Sans MT" w:cs="Gill Sans MT" w:eastAsia="Gill Sans MT" w:hAnsi="Gill Sans MT"/>
        </w:rPr>
        <w:t xml:space="preserve">Data dikumpulkan melalui empat teknik, yaitu: (1) observasi terhadap aktivitas membaca subjek dalam tiga kali pertemuan; (2) wawancara semi-terstruktur dengan guru kelas dan orang tua; (3) tes membaca permulaan yang terdiri atas 24 stimulus untuk setiap indikator, mencakup pengenalan huruf, suku kata, kata, kalimat, dan pemahaman isi bacaan sebagaimana digunakan pada penelitian sejenis (Nurani et al., 2021; Rohman et al., 2022); serta (4) dokumentasi berupa hasil belajar dan catatan perkembangan subjek. Keabsahan data diperoleh melalui triangulasi sumber dan triangulasi teknik (Sugiyono, 2021). Analisis data dilakukan mengikuti model interaktif yang meliputi reduksi data, penyajian data, dan penarikan kesimpulan (Miles et al., 2014).</w:t>
      </w:r>
    </w:p>
    <w:p>
      <w:pPr>
        <w:spacing w:after="120" w:before="200" w:line="276" w:lineRule="auto"/>
      </w:pPr>
      <w:r>
        <w:rPr>
          <w:rFonts w:ascii="Gill Sans MT" w:cs="Gill Sans MT" w:eastAsia="Gill Sans MT" w:hAnsi="Gill Sans MT"/>
          <w:b/>
          <w:bCs/>
        </w:rPr>
        <w:t xml:space="preserve">HASIL DAN PEMBAHASAN</w:t>
      </w:r>
    </w:p>
    <w:p>
      <w:pPr>
        <w:spacing w:after="120" w:line="276" w:lineRule="auto"/>
        <w:jc w:val="both"/>
      </w:pPr>
      <w:r>
        <w:rPr>
          <w:rFonts w:ascii="Gill Sans MT" w:cs="Gill Sans MT" w:eastAsia="Gill Sans MT" w:hAnsi="Gill Sans MT"/>
        </w:rPr>
        <w:t xml:space="preserve">Berdasarkan hasil observasi, wawancara, dan tes membaca yang telah dilaksanakan, temuan penelitian disajikan dalam empat sub bagian berikut.</w:t>
      </w:r>
    </w:p>
    <w:p>
      <w:pPr>
        <w:spacing w:after="120" w:before="120" w:line="276" w:lineRule="auto"/>
      </w:pPr>
      <w:r>
        <w:rPr>
          <w:rFonts w:ascii="Gill Sans MT" w:cs="Gill Sans MT" w:eastAsia="Gill Sans MT" w:hAnsi="Gill Sans MT"/>
          <w:b/>
          <w:bCs/>
        </w:rPr>
        <w:t xml:space="preserve">1. Kondisi Awal Subjek</w:t>
      </w:r>
    </w:p>
    <w:p>
      <w:pPr>
        <w:spacing w:after="120" w:line="276" w:lineRule="auto"/>
        <w:jc w:val="both"/>
      </w:pPr>
      <w:r>
        <w:rPr>
          <w:rFonts w:ascii="Gill Sans MT" w:cs="Gill Sans MT" w:eastAsia="Gill Sans MT" w:hAnsi="Gill Sans MT"/>
        </w:rPr>
        <w:t xml:space="preserve">NA merupakan siswa laki-laki kelas III berusia sembilan tahun. Secara fisik NA tumbuh normal dan tidak memiliki gangguan penglihatan maupun pendengaran berdasarkan keterangan orang tua serta hasil pemeriksaan sederhana di sekolah. Dalam keseharian di kelas, NA tergolong pendiam, jarang mengangkat tangan, dan cenderung menunduk ketika guru menunjuknya untuk membaca. Nilai mata pelajaran yang menuntut kemampuan membaca berada di bawah rata-rata kelas, sedangkan pada kegiatan yang bersifat lisan dan praktik NA menunjukkan kemampuan yang setara dengan teman-temannya. Di rumah, NA tinggal bersama kedua orang tua yang bekerja sehingga pendampingan belajar pada malam hari relatif terbatas; menurut keterangan ibunya, NA lebih tertarik bermain gawai daripada membaca buku cerita yang tersedia di rumah.</w:t>
      </w:r>
    </w:p>
    <w:p>
      <w:pPr>
        <w:spacing w:after="120" w:before="120" w:line="276" w:lineRule="auto"/>
      </w:pPr>
      <w:r>
        <w:rPr>
          <w:rFonts w:ascii="Gill Sans MT" w:cs="Gill Sans MT" w:eastAsia="Gill Sans MT" w:hAnsi="Gill Sans MT"/>
          <w:b/>
          <w:bCs/>
        </w:rPr>
        <w:t xml:space="preserve">2. Bentuk-Bentuk Kesulitan Membaca</w:t>
      </w:r>
    </w:p>
    <w:p>
      <w:pPr>
        <w:spacing w:after="120" w:line="276" w:lineRule="auto"/>
        <w:jc w:val="both"/>
      </w:pPr>
      <w:r>
        <w:rPr>
          <w:rFonts w:ascii="Gill Sans MT" w:cs="Gill Sans MT" w:eastAsia="Gill Sans MT" w:hAnsi="Gill Sans MT"/>
        </w:rPr>
        <w:t xml:space="preserve">Hasil tes membaca dan observasi menunjukkan bahwa kesulitan membaca NA mencakup seluruh indikator dengan tingkat yang bervariasi sebagaimana dirangkum pada Tabel I.</w:t>
      </w:r>
    </w:p>
    <w:p>
      <w:pPr>
        <w:spacing w:after="60" w:before="120" w:line="240" w:lineRule="auto"/>
      </w:pPr>
      <w:r>
        <w:rPr>
          <w:rFonts w:ascii="Gill Sans MT" w:cs="Gill Sans MT" w:eastAsia="Gill Sans MT" w:hAnsi="Gill Sans MT"/>
          <w:b/>
          <w:bCs/>
          <w:sz w:val="20"/>
          <w:szCs w:val="20"/>
        </w:rPr>
        <w:t xml:space="preserve">Tabel I. </w:t>
      </w:r>
      <w:r>
        <w:rPr>
          <w:rFonts w:ascii="Gill Sans MT" w:cs="Gill Sans MT" w:eastAsia="Gill Sans MT" w:hAnsi="Gill Sans MT"/>
          <w:sz w:val="20"/>
          <w:szCs w:val="20"/>
        </w:rPr>
        <w:t xml:space="preserve">Frekuensi Kesulitan Membaca Subjek Berdasarkan Indikator</w:t>
      </w:r>
    </w:p>
    <w:tbl>
      <w:tblPr>
        <w:tblW w:type="dxa" w:w="4961"/>
        <w:tblBorders>
          <w:top w:val="single" w:color="000000" w:sz="4"/>
          <w:left w:val="single" w:color="000000" w:sz="4"/>
          <w:bottom w:val="single" w:color="000000" w:sz="4"/>
          <w:right w:val="single" w:color="000000" w:sz="4"/>
          <w:insideH w:val="single" w:color="000000" w:sz="4"/>
          <w:insideV w:val="single" w:color="000000" w:sz="4"/>
        </w:tblBorders>
      </w:tblPr>
      <w:tblGrid>
        <w:gridCol w:w="430"/>
        <w:gridCol w:w="1280"/>
        <w:gridCol w:w="1940"/>
        <w:gridCol w:w="600"/>
        <w:gridCol w:w="711"/>
      </w:tblGrid>
      <w:tr>
        <w:trPr>
          <w:tblHeader/>
        </w:trPr>
        <w:tc>
          <w:tcPr>
            <w:tcW w:type="dxa" w:w="430"/>
            <w:tcBorders>
              <w:top w:val="single" w:color="000000" w:sz="4"/>
              <w:left w:val="single" w:color="000000" w:sz="4"/>
              <w:bottom w:val="single" w:color="000000" w:sz="4"/>
              <w:right w:val="single" w:color="000000" w:sz="4"/>
            </w:tcBorders>
            <w:shd w:fill="EDE9F2" w:val="clear"/>
            <w:tcMar>
              <w:top w:type="dxa" w:w="40"/>
              <w:left w:type="dxa" w:w="80"/>
              <w:bottom w:type="dxa" w:w="40"/>
              <w:right w:type="dxa" w:w="80"/>
            </w:tcMar>
            <w:vAlign w:val="center"/>
          </w:tcPr>
          <w:p>
            <w:pPr>
              <w:spacing w:line="240" w:lineRule="auto"/>
              <w:jc w:val="center"/>
            </w:pPr>
            <w:r>
              <w:rPr>
                <w:rFonts w:ascii="Gill Sans MT" w:cs="Gill Sans MT" w:eastAsia="Gill Sans MT" w:hAnsi="Gill Sans MT"/>
                <w:b/>
                <w:bCs/>
                <w:sz w:val="18"/>
                <w:szCs w:val="18"/>
              </w:rPr>
              <w:t xml:space="preserve">No</w:t>
            </w:r>
          </w:p>
        </w:tc>
        <w:tc>
          <w:tcPr>
            <w:tcW w:type="dxa" w:w="1280"/>
            <w:tcBorders>
              <w:top w:val="single" w:color="000000" w:sz="4"/>
              <w:left w:val="single" w:color="000000" w:sz="4"/>
              <w:bottom w:val="single" w:color="000000" w:sz="4"/>
              <w:right w:val="single" w:color="000000" w:sz="4"/>
            </w:tcBorders>
            <w:shd w:fill="EDE9F2" w:val="clear"/>
            <w:tcMar>
              <w:top w:type="dxa" w:w="40"/>
              <w:left w:type="dxa" w:w="80"/>
              <w:bottom w:type="dxa" w:w="40"/>
              <w:right w:type="dxa" w:w="80"/>
            </w:tcMar>
            <w:vAlign w:val="center"/>
          </w:tcPr>
          <w:p>
            <w:pPr>
              <w:spacing w:line="240" w:lineRule="auto"/>
              <w:jc w:val="center"/>
            </w:pPr>
            <w:r>
              <w:rPr>
                <w:rFonts w:ascii="Gill Sans MT" w:cs="Gill Sans MT" w:eastAsia="Gill Sans MT" w:hAnsi="Gill Sans MT"/>
                <w:b/>
                <w:bCs/>
                <w:sz w:val="18"/>
                <w:szCs w:val="18"/>
              </w:rPr>
              <w:t xml:space="preserve">Indikator</w:t>
            </w:r>
          </w:p>
        </w:tc>
        <w:tc>
          <w:tcPr>
            <w:tcW w:type="dxa" w:w="1940"/>
            <w:tcBorders>
              <w:top w:val="single" w:color="000000" w:sz="4"/>
              <w:left w:val="single" w:color="000000" w:sz="4"/>
              <w:bottom w:val="single" w:color="000000" w:sz="4"/>
              <w:right w:val="single" w:color="000000" w:sz="4"/>
            </w:tcBorders>
            <w:shd w:fill="EDE9F2" w:val="clear"/>
            <w:tcMar>
              <w:top w:type="dxa" w:w="40"/>
              <w:left w:type="dxa" w:w="80"/>
              <w:bottom w:type="dxa" w:w="40"/>
              <w:right w:type="dxa" w:w="80"/>
            </w:tcMar>
            <w:vAlign w:val="center"/>
          </w:tcPr>
          <w:p>
            <w:pPr>
              <w:spacing w:line="240" w:lineRule="auto"/>
              <w:jc w:val="center"/>
            </w:pPr>
            <w:r>
              <w:rPr>
                <w:rFonts w:ascii="Gill Sans MT" w:cs="Gill Sans MT" w:eastAsia="Gill Sans MT" w:hAnsi="Gill Sans MT"/>
                <w:b/>
                <w:bCs/>
                <w:sz w:val="18"/>
                <w:szCs w:val="18"/>
              </w:rPr>
              <w:t xml:space="preserve">Bentuk Kesulitan</w:t>
            </w:r>
          </w:p>
        </w:tc>
        <w:tc>
          <w:tcPr>
            <w:tcW w:type="dxa" w:w="600"/>
            <w:tcBorders>
              <w:top w:val="single" w:color="000000" w:sz="4"/>
              <w:left w:val="single" w:color="000000" w:sz="4"/>
              <w:bottom w:val="single" w:color="000000" w:sz="4"/>
              <w:right w:val="single" w:color="000000" w:sz="4"/>
            </w:tcBorders>
            <w:shd w:fill="EDE9F2" w:val="clear"/>
            <w:tcMar>
              <w:top w:type="dxa" w:w="40"/>
              <w:left w:type="dxa" w:w="80"/>
              <w:bottom w:type="dxa" w:w="40"/>
              <w:right w:type="dxa" w:w="80"/>
            </w:tcMar>
            <w:vAlign w:val="center"/>
          </w:tcPr>
          <w:p>
            <w:pPr>
              <w:spacing w:line="240" w:lineRule="auto"/>
              <w:jc w:val="center"/>
            </w:pPr>
            <w:r>
              <w:rPr>
                <w:rFonts w:ascii="Gill Sans MT" w:cs="Gill Sans MT" w:eastAsia="Gill Sans MT" w:hAnsi="Gill Sans MT"/>
                <w:b/>
                <w:bCs/>
                <w:sz w:val="18"/>
                <w:szCs w:val="18"/>
              </w:rPr>
              <w:t xml:space="preserve">f*</w:t>
            </w:r>
          </w:p>
        </w:tc>
        <w:tc>
          <w:tcPr>
            <w:tcW w:type="dxa" w:w="711"/>
            <w:tcBorders>
              <w:top w:val="single" w:color="000000" w:sz="4"/>
              <w:left w:val="single" w:color="000000" w:sz="4"/>
              <w:bottom w:val="single" w:color="000000" w:sz="4"/>
              <w:right w:val="single" w:color="000000" w:sz="4"/>
            </w:tcBorders>
            <w:shd w:fill="EDE9F2" w:val="clear"/>
            <w:tcMar>
              <w:top w:type="dxa" w:w="40"/>
              <w:left w:type="dxa" w:w="80"/>
              <w:bottom w:type="dxa" w:w="40"/>
              <w:right w:type="dxa" w:w="80"/>
            </w:tcMar>
            <w:vAlign w:val="center"/>
          </w:tcPr>
          <w:p>
            <w:pPr>
              <w:spacing w:line="240" w:lineRule="auto"/>
              <w:jc w:val="center"/>
            </w:pPr>
            <w:r>
              <w:rPr>
                <w:rFonts w:ascii="Gill Sans MT" w:cs="Gill Sans MT" w:eastAsia="Gill Sans MT" w:hAnsi="Gill Sans MT"/>
                <w:b/>
                <w:bCs/>
                <w:sz w:val="18"/>
                <w:szCs w:val="18"/>
              </w:rPr>
              <w:t xml:space="preserve">%</w:t>
            </w:r>
          </w:p>
        </w:tc>
      </w:tr>
      <w:tr>
        <w:tc>
          <w:tcPr>
            <w:tcW w:type="dxa" w:w="43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center"/>
            </w:pPr>
            <w:r>
              <w:rPr>
                <w:rFonts w:ascii="Gill Sans MT" w:cs="Gill Sans MT" w:eastAsia="Gill Sans MT" w:hAnsi="Gill Sans MT"/>
                <w:b w:val="false"/>
                <w:bCs w:val="false"/>
                <w:sz w:val="18"/>
                <w:szCs w:val="18"/>
              </w:rPr>
              <w:t xml:space="preserve">1</w:t>
            </w:r>
          </w:p>
        </w:tc>
        <w:tc>
          <w:tcPr>
            <w:tcW w:type="dxa" w:w="128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left"/>
            </w:pPr>
            <w:r>
              <w:rPr>
                <w:rFonts w:ascii="Gill Sans MT" w:cs="Gill Sans MT" w:eastAsia="Gill Sans MT" w:hAnsi="Gill Sans MT"/>
                <w:b w:val="false"/>
                <w:bCs w:val="false"/>
                <w:sz w:val="18"/>
                <w:szCs w:val="18"/>
              </w:rPr>
              <w:t xml:space="preserve">Mengenal huruf</w:t>
            </w:r>
          </w:p>
        </w:tc>
        <w:tc>
          <w:tcPr>
            <w:tcW w:type="dxa" w:w="194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left"/>
            </w:pPr>
            <w:r>
              <w:rPr>
                <w:rFonts w:ascii="Gill Sans MT" w:cs="Gill Sans MT" w:eastAsia="Gill Sans MT" w:hAnsi="Gill Sans MT"/>
                <w:b w:val="false"/>
                <w:bCs w:val="false"/>
                <w:sz w:val="18"/>
                <w:szCs w:val="18"/>
              </w:rPr>
              <w:t xml:space="preserve">Tertukar huruf yang mirip (b/d, p/q)</w:t>
            </w:r>
          </w:p>
        </w:tc>
        <w:tc>
          <w:tcPr>
            <w:tcW w:type="dxa" w:w="60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center"/>
            </w:pPr>
            <w:r>
              <w:rPr>
                <w:rFonts w:ascii="Gill Sans MT" w:cs="Gill Sans MT" w:eastAsia="Gill Sans MT" w:hAnsi="Gill Sans MT"/>
                <w:b w:val="false"/>
                <w:bCs w:val="false"/>
                <w:sz w:val="18"/>
                <w:szCs w:val="18"/>
              </w:rPr>
              <w:t xml:space="preserve">12</w:t>
            </w:r>
          </w:p>
        </w:tc>
        <w:tc>
          <w:tcPr>
            <w:tcW w:type="dxa" w:w="711"/>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center"/>
            </w:pPr>
            <w:r>
              <w:rPr>
                <w:rFonts w:ascii="Gill Sans MT" w:cs="Gill Sans MT" w:eastAsia="Gill Sans MT" w:hAnsi="Gill Sans MT"/>
                <w:b w:val="false"/>
                <w:bCs w:val="false"/>
                <w:sz w:val="18"/>
                <w:szCs w:val="18"/>
              </w:rPr>
              <w:t xml:space="preserve">50</w:t>
            </w:r>
          </w:p>
        </w:tc>
      </w:tr>
      <w:tr>
        <w:tc>
          <w:tcPr>
            <w:tcW w:type="dxa" w:w="43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center"/>
            </w:pPr>
            <w:r>
              <w:rPr>
                <w:rFonts w:ascii="Gill Sans MT" w:cs="Gill Sans MT" w:eastAsia="Gill Sans MT" w:hAnsi="Gill Sans MT"/>
                <w:b w:val="false"/>
                <w:bCs w:val="false"/>
                <w:sz w:val="18"/>
                <w:szCs w:val="18"/>
              </w:rPr>
              <w:t xml:space="preserve">2</w:t>
            </w:r>
          </w:p>
        </w:tc>
        <w:tc>
          <w:tcPr>
            <w:tcW w:type="dxa" w:w="128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left"/>
            </w:pPr>
            <w:r>
              <w:rPr>
                <w:rFonts w:ascii="Gill Sans MT" w:cs="Gill Sans MT" w:eastAsia="Gill Sans MT" w:hAnsi="Gill Sans MT"/>
                <w:b w:val="false"/>
                <w:bCs w:val="false"/>
                <w:sz w:val="18"/>
                <w:szCs w:val="18"/>
              </w:rPr>
              <w:t xml:space="preserve">Membaca suku kata</w:t>
            </w:r>
          </w:p>
        </w:tc>
        <w:tc>
          <w:tcPr>
            <w:tcW w:type="dxa" w:w="194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left"/>
            </w:pPr>
            <w:r>
              <w:rPr>
                <w:rFonts w:ascii="Gill Sans MT" w:cs="Gill Sans MT" w:eastAsia="Gill Sans MT" w:hAnsi="Gill Sans MT"/>
                <w:b w:val="false"/>
                <w:bCs w:val="false"/>
                <w:sz w:val="18"/>
                <w:szCs w:val="18"/>
              </w:rPr>
              <w:t xml:space="preserve">Mengeja lambat, menghilangkan huruf akhir</w:t>
            </w:r>
          </w:p>
        </w:tc>
        <w:tc>
          <w:tcPr>
            <w:tcW w:type="dxa" w:w="60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center"/>
            </w:pPr>
            <w:r>
              <w:rPr>
                <w:rFonts w:ascii="Gill Sans MT" w:cs="Gill Sans MT" w:eastAsia="Gill Sans MT" w:hAnsi="Gill Sans MT"/>
                <w:b w:val="false"/>
                <w:bCs w:val="false"/>
                <w:sz w:val="18"/>
                <w:szCs w:val="18"/>
              </w:rPr>
              <w:t xml:space="preserve">16</w:t>
            </w:r>
          </w:p>
        </w:tc>
        <w:tc>
          <w:tcPr>
            <w:tcW w:type="dxa" w:w="711"/>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center"/>
            </w:pPr>
            <w:r>
              <w:rPr>
                <w:rFonts w:ascii="Gill Sans MT" w:cs="Gill Sans MT" w:eastAsia="Gill Sans MT" w:hAnsi="Gill Sans MT"/>
                <w:b w:val="false"/>
                <w:bCs w:val="false"/>
                <w:sz w:val="18"/>
                <w:szCs w:val="18"/>
              </w:rPr>
              <w:t xml:space="preserve">67</w:t>
            </w:r>
          </w:p>
        </w:tc>
      </w:tr>
      <w:tr>
        <w:tc>
          <w:tcPr>
            <w:tcW w:type="dxa" w:w="43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center"/>
            </w:pPr>
            <w:r>
              <w:rPr>
                <w:rFonts w:ascii="Gill Sans MT" w:cs="Gill Sans MT" w:eastAsia="Gill Sans MT" w:hAnsi="Gill Sans MT"/>
                <w:b w:val="false"/>
                <w:bCs w:val="false"/>
                <w:sz w:val="18"/>
                <w:szCs w:val="18"/>
              </w:rPr>
              <w:t xml:space="preserve">3</w:t>
            </w:r>
          </w:p>
        </w:tc>
        <w:tc>
          <w:tcPr>
            <w:tcW w:type="dxa" w:w="128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left"/>
            </w:pPr>
            <w:r>
              <w:rPr>
                <w:rFonts w:ascii="Gill Sans MT" w:cs="Gill Sans MT" w:eastAsia="Gill Sans MT" w:hAnsi="Gill Sans MT"/>
                <w:b w:val="false"/>
                <w:bCs w:val="false"/>
                <w:sz w:val="18"/>
                <w:szCs w:val="18"/>
              </w:rPr>
              <w:t xml:space="preserve">Membaca kata</w:t>
            </w:r>
          </w:p>
        </w:tc>
        <w:tc>
          <w:tcPr>
            <w:tcW w:type="dxa" w:w="194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left"/>
            </w:pPr>
            <w:r>
              <w:rPr>
                <w:rFonts w:ascii="Gill Sans MT" w:cs="Gill Sans MT" w:eastAsia="Gill Sans MT" w:hAnsi="Gill Sans MT"/>
                <w:b w:val="false"/>
                <w:bCs w:val="false"/>
                <w:sz w:val="18"/>
                <w:szCs w:val="18"/>
              </w:rPr>
              <w:t xml:space="preserve">Terbata-bata dan sering menebak kata</w:t>
            </w:r>
          </w:p>
        </w:tc>
        <w:tc>
          <w:tcPr>
            <w:tcW w:type="dxa" w:w="60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center"/>
            </w:pPr>
            <w:r>
              <w:rPr>
                <w:rFonts w:ascii="Gill Sans MT" w:cs="Gill Sans MT" w:eastAsia="Gill Sans MT" w:hAnsi="Gill Sans MT"/>
                <w:b w:val="false"/>
                <w:bCs w:val="false"/>
                <w:sz w:val="18"/>
                <w:szCs w:val="18"/>
              </w:rPr>
              <w:t xml:space="preserve">18</w:t>
            </w:r>
          </w:p>
        </w:tc>
        <w:tc>
          <w:tcPr>
            <w:tcW w:type="dxa" w:w="711"/>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center"/>
            </w:pPr>
            <w:r>
              <w:rPr>
                <w:rFonts w:ascii="Gill Sans MT" w:cs="Gill Sans MT" w:eastAsia="Gill Sans MT" w:hAnsi="Gill Sans MT"/>
                <w:b w:val="false"/>
                <w:bCs w:val="false"/>
                <w:sz w:val="18"/>
                <w:szCs w:val="18"/>
              </w:rPr>
              <w:t xml:space="preserve">75</w:t>
            </w:r>
          </w:p>
        </w:tc>
      </w:tr>
      <w:tr>
        <w:tc>
          <w:tcPr>
            <w:tcW w:type="dxa" w:w="43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center"/>
            </w:pPr>
            <w:r>
              <w:rPr>
                <w:rFonts w:ascii="Gill Sans MT" w:cs="Gill Sans MT" w:eastAsia="Gill Sans MT" w:hAnsi="Gill Sans MT"/>
                <w:b w:val="false"/>
                <w:bCs w:val="false"/>
                <w:sz w:val="18"/>
                <w:szCs w:val="18"/>
              </w:rPr>
              <w:t xml:space="preserve">4</w:t>
            </w:r>
          </w:p>
        </w:tc>
        <w:tc>
          <w:tcPr>
            <w:tcW w:type="dxa" w:w="128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left"/>
            </w:pPr>
            <w:r>
              <w:rPr>
                <w:rFonts w:ascii="Gill Sans MT" w:cs="Gill Sans MT" w:eastAsia="Gill Sans MT" w:hAnsi="Gill Sans MT"/>
                <w:b w:val="false"/>
                <w:bCs w:val="false"/>
                <w:sz w:val="18"/>
                <w:szCs w:val="18"/>
              </w:rPr>
              <w:t xml:space="preserve">Membaca kalimat</w:t>
            </w:r>
          </w:p>
        </w:tc>
        <w:tc>
          <w:tcPr>
            <w:tcW w:type="dxa" w:w="194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left"/>
            </w:pPr>
            <w:r>
              <w:rPr>
                <w:rFonts w:ascii="Gill Sans MT" w:cs="Gill Sans MT" w:eastAsia="Gill Sans MT" w:hAnsi="Gill Sans MT"/>
                <w:b w:val="false"/>
                <w:bCs w:val="false"/>
                <w:sz w:val="18"/>
                <w:szCs w:val="18"/>
              </w:rPr>
              <w:t xml:space="preserve">Tidak lancar, banyak pengulangan</w:t>
            </w:r>
          </w:p>
        </w:tc>
        <w:tc>
          <w:tcPr>
            <w:tcW w:type="dxa" w:w="60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center"/>
            </w:pPr>
            <w:r>
              <w:rPr>
                <w:rFonts w:ascii="Gill Sans MT" w:cs="Gill Sans MT" w:eastAsia="Gill Sans MT" w:hAnsi="Gill Sans MT"/>
                <w:b w:val="false"/>
                <w:bCs w:val="false"/>
                <w:sz w:val="18"/>
                <w:szCs w:val="18"/>
              </w:rPr>
              <w:t xml:space="preserve">17</w:t>
            </w:r>
          </w:p>
        </w:tc>
        <w:tc>
          <w:tcPr>
            <w:tcW w:type="dxa" w:w="711"/>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center"/>
            </w:pPr>
            <w:r>
              <w:rPr>
                <w:rFonts w:ascii="Gill Sans MT" w:cs="Gill Sans MT" w:eastAsia="Gill Sans MT" w:hAnsi="Gill Sans MT"/>
                <w:b w:val="false"/>
                <w:bCs w:val="false"/>
                <w:sz w:val="18"/>
                <w:szCs w:val="18"/>
              </w:rPr>
              <w:t xml:space="preserve">71</w:t>
            </w:r>
          </w:p>
        </w:tc>
      </w:tr>
      <w:tr>
        <w:tc>
          <w:tcPr>
            <w:tcW w:type="dxa" w:w="43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center"/>
            </w:pPr>
            <w:r>
              <w:rPr>
                <w:rFonts w:ascii="Gill Sans MT" w:cs="Gill Sans MT" w:eastAsia="Gill Sans MT" w:hAnsi="Gill Sans MT"/>
                <w:b w:val="false"/>
                <w:bCs w:val="false"/>
                <w:sz w:val="18"/>
                <w:szCs w:val="18"/>
              </w:rPr>
              <w:t xml:space="preserve">5</w:t>
            </w:r>
          </w:p>
        </w:tc>
        <w:tc>
          <w:tcPr>
            <w:tcW w:type="dxa" w:w="128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left"/>
            </w:pPr>
            <w:r>
              <w:rPr>
                <w:rFonts w:ascii="Gill Sans MT" w:cs="Gill Sans MT" w:eastAsia="Gill Sans MT" w:hAnsi="Gill Sans MT"/>
                <w:b w:val="false"/>
                <w:bCs w:val="false"/>
                <w:sz w:val="18"/>
                <w:szCs w:val="18"/>
              </w:rPr>
              <w:t xml:space="preserve">Memahami isi bacaan</w:t>
            </w:r>
          </w:p>
        </w:tc>
        <w:tc>
          <w:tcPr>
            <w:tcW w:type="dxa" w:w="194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left"/>
            </w:pPr>
            <w:r>
              <w:rPr>
                <w:rFonts w:ascii="Gill Sans MT" w:cs="Gill Sans MT" w:eastAsia="Gill Sans MT" w:hAnsi="Gill Sans MT"/>
                <w:b w:val="false"/>
                <w:bCs w:val="false"/>
                <w:sz w:val="18"/>
                <w:szCs w:val="18"/>
              </w:rPr>
              <w:t xml:space="preserve">Sulit menjawab pertanyaan isi bacaan</w:t>
            </w:r>
          </w:p>
        </w:tc>
        <w:tc>
          <w:tcPr>
            <w:tcW w:type="dxa" w:w="600"/>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center"/>
            </w:pPr>
            <w:r>
              <w:rPr>
                <w:rFonts w:ascii="Gill Sans MT" w:cs="Gill Sans MT" w:eastAsia="Gill Sans MT" w:hAnsi="Gill Sans MT"/>
                <w:b w:val="false"/>
                <w:bCs w:val="false"/>
                <w:sz w:val="18"/>
                <w:szCs w:val="18"/>
              </w:rPr>
              <w:t xml:space="preserve">15</w:t>
            </w:r>
          </w:p>
        </w:tc>
        <w:tc>
          <w:tcPr>
            <w:tcW w:type="dxa" w:w="711"/>
            <w:tcBorders>
              <w:top w:val="single" w:color="000000" w:sz="4"/>
              <w:left w:val="single" w:color="000000" w:sz="4"/>
              <w:bottom w:val="single" w:color="000000" w:sz="4"/>
              <w:right w:val="single" w:color="000000" w:sz="4"/>
            </w:tcBorders>
            <w:tcMar>
              <w:top w:type="dxa" w:w="40"/>
              <w:left w:type="dxa" w:w="80"/>
              <w:bottom w:type="dxa" w:w="40"/>
              <w:right w:type="dxa" w:w="80"/>
            </w:tcMar>
            <w:vAlign w:val="center"/>
          </w:tcPr>
          <w:p>
            <w:pPr>
              <w:spacing w:line="240" w:lineRule="auto"/>
              <w:jc w:val="center"/>
            </w:pPr>
            <w:r>
              <w:rPr>
                <w:rFonts w:ascii="Gill Sans MT" w:cs="Gill Sans MT" w:eastAsia="Gill Sans MT" w:hAnsi="Gill Sans MT"/>
                <w:b w:val="false"/>
                <w:bCs w:val="false"/>
                <w:sz w:val="18"/>
                <w:szCs w:val="18"/>
              </w:rPr>
              <w:t xml:space="preserve">63</w:t>
            </w:r>
          </w:p>
        </w:tc>
      </w:tr>
    </w:tbl>
    <w:p>
      <w:pPr>
        <w:spacing w:after="120" w:before="40" w:line="240" w:lineRule="auto"/>
      </w:pPr>
      <w:r>
        <w:rPr>
          <w:rFonts w:ascii="Gill Sans MT" w:cs="Gill Sans MT" w:eastAsia="Gill Sans MT" w:hAnsi="Gill Sans MT"/>
          <w:i/>
          <w:iCs/>
          <w:sz w:val="16"/>
          <w:szCs w:val="16"/>
        </w:rPr>
        <w:t xml:space="preserve">*Frekuensi kesalahan dari 24 stimulus pada tiga kali pengamatan.</w:t>
      </w:r>
    </w:p>
    <w:p>
      <w:pPr>
        <w:spacing w:after="120" w:line="276" w:lineRule="auto"/>
        <w:jc w:val="both"/>
      </w:pPr>
      <w:r>
        <w:rPr>
          <w:rFonts w:ascii="Gill Sans MT" w:cs="Gill Sans MT" w:eastAsia="Gill Sans MT" w:hAnsi="Gill Sans MT"/>
        </w:rPr>
        <w:t xml:space="preserve">Pada indikator mengenal huruf, NA masih tertukar pada huruf-huruf yang mirip seperti b dengan d serta p dengan q, terutama ketika huruf tersebut muncul di tengah kata. Pada indikator membaca suku kata, NA mengeja secara lambat dan kerap menghilangkan huruf akhir, misalnya membaca “buku” menjadi “bu” dan “makan” menjadi “maka”. Pada indikator membaca kata, NA membaca secara terbata-bata dan beberapa kali menebak kata berdasarkan huruf awalnya saja, misalnya membaca “berlari” menjadi “bermain”. Pada indikator membaca kalimat, NA belum memperhatikan tanda baca sehingga intonasinya datar dan ia sering mengulang kalimat dari awal ketika salah membaca satu kata. Pada indikator memahami isi bacaan, NA kesulitan menjawab pertanyaan tentang tokoh, tempat, dan isi cerita yang baru dibacanya, dan baru mampu menjawab setelah dibimbing dengan pertanyaan penuntun. Distribusi tingkat kesulitan pada setiap indikator divisualisasikan pada Gambar 1.</w:t>
      </w:r>
    </w:p>
    <w:p>
      <w:pPr>
        <w:spacing w:after="60" w:before="120"/>
        <w:jc w:val="center"/>
      </w:pPr>
      <w:r>
        <w:drawing>
          <wp:inline distT="0" distB="0" distL="0" distR="0">
            <wp:extent cx="3048000" cy="1990725"/>
            <wp:effectExtent t="0" r="0" b="0" l="0"/>
            <wp:docPr id="1" name="gambar-1" descr="Grafik batang tingkat kesulitan membaca subjek per indikator dalam persen" title="Grafik tingkat kesulitan memba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048000" cy="1990725"/>
                    </a:xfrm>
                    <a:prstGeom prst="rect">
                      <a:avLst/>
                    </a:prstGeom>
                  </pic:spPr>
                </pic:pic>
              </a:graphicData>
            </a:graphic>
          </wp:inline>
        </w:drawing>
      </w:r>
    </w:p>
    <w:p>
      <w:pPr>
        <w:spacing w:after="120" w:line="240" w:lineRule="auto"/>
        <w:jc w:val="center"/>
      </w:pPr>
      <w:r>
        <w:rPr>
          <w:rFonts w:ascii="Gill Sans MT" w:cs="Gill Sans MT" w:eastAsia="Gill Sans MT" w:hAnsi="Gill Sans MT"/>
          <w:b/>
          <w:bCs/>
          <w:sz w:val="20"/>
          <w:szCs w:val="20"/>
        </w:rPr>
        <w:t xml:space="preserve">Gambar 1. </w:t>
      </w:r>
      <w:r>
        <w:rPr>
          <w:rFonts w:ascii="Gill Sans MT" w:cs="Gill Sans MT" w:eastAsia="Gill Sans MT" w:hAnsi="Gill Sans MT"/>
          <w:sz w:val="20"/>
          <w:szCs w:val="20"/>
        </w:rPr>
        <w:t xml:space="preserve">Grafik Tingkat Kesulitan Membaca Subjek per Indikator</w:t>
      </w:r>
    </w:p>
    <w:p>
      <w:pPr>
        <w:spacing w:after="120" w:before="120" w:line="276" w:lineRule="auto"/>
      </w:pPr>
      <w:r>
        <w:rPr>
          <w:rFonts w:ascii="Gill Sans MT" w:cs="Gill Sans MT" w:eastAsia="Gill Sans MT" w:hAnsi="Gill Sans MT"/>
          <w:b/>
          <w:bCs/>
        </w:rPr>
        <w:t xml:space="preserve">3. Faktor Penyebab Kesulitan Membaca</w:t>
      </w:r>
    </w:p>
    <w:p>
      <w:pPr>
        <w:spacing w:after="120" w:line="276" w:lineRule="auto"/>
        <w:jc w:val="both"/>
      </w:pPr>
      <w:r>
        <w:rPr>
          <w:rFonts w:ascii="Gill Sans MT" w:cs="Gill Sans MT" w:eastAsia="Gill Sans MT" w:hAnsi="Gill Sans MT"/>
        </w:rPr>
        <w:t xml:space="preserve">Hasil wawancara dan observasi mengindikasikan bahwa kesulitan membaca NA dipengaruhi oleh faktor internal dan eksternal. Faktor internal meliputi kesadaran fonologis yang belum berkembang optimal, tampak dari kesulitannya membedakan bunyi huruf yang mirip; minat membaca yang rendah, terlihat dari keengganannya memilih buku pada sudut baca kelas; serta rasa percaya diri yang kurang karena pengalaman ditertawakan teman ketika salah membaca. Faktor eksternal meliputi keterbatasan pendampingan membaca di rumah karena kedua orang tua bekerja, pembelajaran membaca di kelas yang berlangsung secara klasikal sehingga guru sulit memberi perhatian khusus, serta keterbatasan media dan buku bacaan yang menarik (Mayasari &amp; Fathoni, 2024). Temuan ini sejalan dengan pendapat bahwa kesulitan membaca jarang disebabkan oleh satu faktor tunggal, melainkan perpaduan faktor internal dan eksternal yang saling memperkuat (Astri &amp; Amalia, 2024; Herlinda et al., 2025; Lestari &amp; Ramadan, 2024).</w:t>
      </w:r>
    </w:p>
    <w:p>
      <w:pPr>
        <w:spacing w:after="120" w:before="120" w:line="276" w:lineRule="auto"/>
      </w:pPr>
      <w:r>
        <w:rPr>
          <w:rFonts w:ascii="Gill Sans MT" w:cs="Gill Sans MT" w:eastAsia="Gill Sans MT" w:hAnsi="Gill Sans MT"/>
          <w:b/>
          <w:bCs/>
        </w:rPr>
        <w:t xml:space="preserve">4. Pembahasan</w:t>
      </w:r>
    </w:p>
    <w:p>
      <w:pPr>
        <w:spacing w:after="120" w:line="276" w:lineRule="auto"/>
        <w:jc w:val="both"/>
      </w:pPr>
      <w:r>
        <w:rPr>
          <w:rFonts w:ascii="Gill Sans MT" w:cs="Gill Sans MT" w:eastAsia="Gill Sans MT" w:hAnsi="Gill Sans MT"/>
        </w:rPr>
        <w:t xml:space="preserve">Temuan bahwa kesulitan paling menonjol terletak pada aspek membaca kata dan membaca kalimat konsisten dengan hasil penelitian Khairurrazikin dan Yuliawati (2023) yang menemukan hambatan dominan siswa kelas III justru pada penguasaan kata dan pemahaman bacaan, serta dengan penelitian Eskris dan Koeswanti (2022) yang menegaskan bahwa ketidaklancaran membaca kata berdampak langsung pada kefasihan dan pemahaman bacaan (Puteri et al., 2022). Ditinjau dari tahapan perkembangan membaca, kondisi NA menunjukkan bahwa ia masih berada pada tahap membaca permulaan dan belum beralih ke tahap membaca untuk belajar sebagaimana umumnya siswa kelas III (Chall, 1983). Kesulitan mengenali huruf yang mirip dan hilangnya huruf akhir mengindikasikan lemahnya kesadaran fonologis yang dalam berbagai penelitian terbukti menjadi penanda kuat kesulitan membaca permulaan (Nurani et al., 2021; Rohman et al., 2022; Safitri et al., 2024). Sementara itu, rendahnya minat membaca dan terbatasnya pendampingan di rumah memperkuat temuan Fahmi et al. (2022) serta Amalia dan Pahmi (2022) mengenai pentingnya pola pengasuhan dan lingkungan literasi keluarga. Implikasi praktis dari temuan ini adalah perlunya intervensi remedial yang terindividualisasi, antara lain pembelajaran fonik yang sistematis (Sunarti et al., 2022), penggunaan kartu huruf dan kartu kata (Azizah &amp; Rahmawati, 2022; Hasibuan, 2024; Sari et al., 2022; Umami &amp; Dafit, 2024), pendampingan bedah kalimat serta pendekatan multisensori (Hidayah &amp; Fathoni, 2022; Primasari &amp; Supena, 2021), dan pemanfaatan media baca yang menarik seperti big book, papan pintar, roda baca, hingga aplikasi membaca berbasis Android (Erlina &amp; Iswara, 2023; Fadillah &amp; Sugiharti, 2025; Lu'lu'a et al., 2023; Maharani et al., 2023). Guru kelas juga disarankan menyediakan waktu membaca khusus dengan teks bergradasi dan penguatan positif untuk memulihkan rasa percaya diri subjek (Herlinda et al., 2025), sekaligus memperkuat pembiasaan literasi melalui Gerakan Literasi Sekolah (Wildaniaty, 2024).</w:t>
      </w:r>
    </w:p>
    <w:p>
      <w:pPr>
        <w:spacing w:after="120" w:before="200" w:line="276" w:lineRule="auto"/>
      </w:pPr>
      <w:r>
        <w:rPr>
          <w:rFonts w:ascii="Gill Sans MT" w:cs="Gill Sans MT" w:eastAsia="Gill Sans MT" w:hAnsi="Gill Sans MT"/>
          <w:b/>
          <w:bCs/>
        </w:rPr>
        <w:t xml:space="preserve">KESIMPULAN</w:t>
      </w:r>
    </w:p>
    <w:p>
      <w:pPr>
        <w:spacing w:after="120" w:line="276" w:lineRule="auto"/>
        <w:jc w:val="both"/>
      </w:pPr>
      <w:r>
        <w:rPr>
          <w:rFonts w:ascii="Gill Sans MT" w:cs="Gill Sans MT" w:eastAsia="Gill Sans MT" w:hAnsi="Gill Sans MT"/>
        </w:rPr>
        <w:t xml:space="preserve">Berdasarkan hasil penelitian dapat disimpulkan bahwa subjek mengalami kesulitan membaca pada seluruh indikator dengan tingkat kesulitan tertinggi pada aspek membaca kata dan membaca kalimat, disusul membaca suku kata, memahami isi bacaan, dan mengenal huruf; kesulitan tersebut disebabkan oleh perpaduan faktor internal berupa kesadaran fonologis yang lemah, minat membaca yang rendah, dan kurangnya rasa percaya diri, serta faktor eksternal berupa keterbatasan pendampingan orang tua, pembelajaran klasikal, dan minimnya media baca yang menarik. Penelitian lanjutan disarankan mengembangkan dan menguji efektivitas program intervensi membaca terindividualisasi, misalnya pendekatan fonik berbasis permainan, serta melibatkan lebih banyak subjek agar temuan dapat dibandingkan lintas konteks sekolah.</w:t>
      </w:r>
    </w:p>
    <w:p>
      <w:pPr>
        <w:spacing w:after="120" w:before="200" w:line="276" w:lineRule="auto"/>
      </w:pPr>
      <w:r>
        <w:rPr>
          <w:rFonts w:ascii="Gill Sans MT" w:cs="Gill Sans MT" w:eastAsia="Gill Sans MT" w:hAnsi="Gill Sans MT"/>
          <w:b/>
          <w:bCs/>
        </w:rPr>
        <w:t xml:space="preserve">DAFTAR PUSTAKA</w:t>
      </w:r>
    </w:p>
    <w:p>
      <w:pPr>
        <w:spacing w:after="120" w:line="240" w:lineRule="auto"/>
        <w:ind w:left="360" w:hanging="360"/>
        <w:jc w:val="left"/>
      </w:pPr>
      <w:r>
        <w:rPr>
          <w:rFonts w:ascii="Gill Sans MT" w:cs="Gill Sans MT" w:eastAsia="Gill Sans MT" w:hAnsi="Gill Sans MT"/>
        </w:rPr>
        <w:t xml:space="preserve">Ain, R. N., &amp; Ain, S. Q. (2024). Kesulitan membaca permulaan siswa kelas 1 sekolah dasar. </w:t>
      </w:r>
      <w:r>
        <w:rPr>
          <w:rFonts w:ascii="Gill Sans MT" w:cs="Gill Sans MT" w:eastAsia="Gill Sans MT" w:hAnsi="Gill Sans MT"/>
          <w:i/>
          <w:iCs/>
        </w:rPr>
        <w:t xml:space="preserve">Didaktika: Jurnal Kependidikan, 13</w:t>
      </w:r>
      <w:r>
        <w:rPr>
          <w:rFonts w:ascii="Gill Sans MT" w:cs="Gill Sans MT" w:eastAsia="Gill Sans MT" w:hAnsi="Gill Sans MT"/>
        </w:rPr>
        <w:t xml:space="preserve">(1), 1029–1036. </w:t>
      </w:r>
      <w:r>
        <w:rPr>
          <w:rFonts w:ascii="Gill Sans MT" w:cs="Gill Sans MT" w:eastAsia="Gill Sans MT" w:hAnsi="Gill Sans MT"/>
        </w:rPr>
        <w:t xml:space="preserve">https://doi.org/10.58230/27454312.547</w:t>
      </w:r>
    </w:p>
    <w:p>
      <w:pPr>
        <w:spacing w:after="120" w:line="240" w:lineRule="auto"/>
        <w:ind w:left="360" w:hanging="360"/>
        <w:jc w:val="left"/>
      </w:pPr>
      <w:r>
        <w:rPr>
          <w:rFonts w:ascii="Gill Sans MT" w:cs="Gill Sans MT" w:eastAsia="Gill Sans MT" w:hAnsi="Gill Sans MT"/>
        </w:rPr>
        <w:t xml:space="preserve">Amalia, R., &amp; Pahmi, S. (2022). Analisis pola asuh orang tua terhadap kemampuan membaca siswa disleksia pada masa pandemi Covid-19. </w:t>
      </w:r>
      <w:r>
        <w:rPr>
          <w:rFonts w:ascii="Gill Sans MT" w:cs="Gill Sans MT" w:eastAsia="Gill Sans MT" w:hAnsi="Gill Sans MT"/>
          <w:i/>
          <w:iCs/>
        </w:rPr>
        <w:t xml:space="preserve">Jurnal Basicedu, 6</w:t>
      </w:r>
      <w:r>
        <w:rPr>
          <w:rFonts w:ascii="Gill Sans MT" w:cs="Gill Sans MT" w:eastAsia="Gill Sans MT" w:hAnsi="Gill Sans MT"/>
        </w:rPr>
        <w:t xml:space="preserve">(2), 1897–1905. </w:t>
      </w:r>
      <w:r>
        <w:rPr>
          <w:rFonts w:ascii="Gill Sans MT" w:cs="Gill Sans MT" w:eastAsia="Gill Sans MT" w:hAnsi="Gill Sans MT"/>
        </w:rPr>
        <w:t xml:space="preserve">https://doi.org/10.31004/basicedu.v6i2.2226</w:t>
      </w:r>
    </w:p>
    <w:p>
      <w:pPr>
        <w:spacing w:after="120" w:line="240" w:lineRule="auto"/>
        <w:ind w:left="360" w:hanging="360"/>
        <w:jc w:val="left"/>
      </w:pPr>
      <w:r>
        <w:rPr>
          <w:rFonts w:ascii="Gill Sans MT" w:cs="Gill Sans MT" w:eastAsia="Gill Sans MT" w:hAnsi="Gill Sans MT"/>
        </w:rPr>
        <w:t xml:space="preserve">Astri, A. H. A., &amp; Amalia, D. N. (2024). Analisis faktor-faktor kesulitan membaca pada siswa sekolah dasar. </w:t>
      </w:r>
      <w:r>
        <w:rPr>
          <w:rFonts w:ascii="Gill Sans MT" w:cs="Gill Sans MT" w:eastAsia="Gill Sans MT" w:hAnsi="Gill Sans MT"/>
          <w:i/>
          <w:iCs/>
        </w:rPr>
        <w:t xml:space="preserve">Jurnal Basicedu, 8</w:t>
      </w:r>
      <w:r>
        <w:rPr>
          <w:rFonts w:ascii="Gill Sans MT" w:cs="Gill Sans MT" w:eastAsia="Gill Sans MT" w:hAnsi="Gill Sans MT"/>
        </w:rPr>
        <w:t xml:space="preserve">(1), 83–90. </w:t>
      </w:r>
      <w:r>
        <w:rPr>
          <w:rFonts w:ascii="Gill Sans MT" w:cs="Gill Sans MT" w:eastAsia="Gill Sans MT" w:hAnsi="Gill Sans MT"/>
        </w:rPr>
        <w:t xml:space="preserve">https://doi.org/10.31004/basicedu.v8i1.6789</w:t>
      </w:r>
    </w:p>
    <w:p>
      <w:pPr>
        <w:spacing w:after="120" w:line="240" w:lineRule="auto"/>
        <w:ind w:left="360" w:hanging="360"/>
        <w:jc w:val="left"/>
      </w:pPr>
      <w:r>
        <w:rPr>
          <w:rFonts w:ascii="Gill Sans MT" w:cs="Gill Sans MT" w:eastAsia="Gill Sans MT" w:hAnsi="Gill Sans MT"/>
        </w:rPr>
        <w:t xml:space="preserve">Azizah, S. N., &amp; Rahmawati, F. P. (2022). Implementasi inovasi keterampilan membaca permulaan melalui media kartu huruf terintegrasi poster bergambar bagi kelas I sekolah dasar. </w:t>
      </w:r>
      <w:r>
        <w:rPr>
          <w:rFonts w:ascii="Gill Sans MT" w:cs="Gill Sans MT" w:eastAsia="Gill Sans MT" w:hAnsi="Gill Sans MT"/>
          <w:i/>
          <w:iCs/>
        </w:rPr>
        <w:t xml:space="preserve">Jurnal Basicedu, 6</w:t>
      </w:r>
      <w:r>
        <w:rPr>
          <w:rFonts w:ascii="Gill Sans MT" w:cs="Gill Sans MT" w:eastAsia="Gill Sans MT" w:hAnsi="Gill Sans MT"/>
        </w:rPr>
        <w:t xml:space="preserve">(4), 6241–6247. </w:t>
      </w:r>
      <w:r>
        <w:rPr>
          <w:rFonts w:ascii="Gill Sans MT" w:cs="Gill Sans MT" w:eastAsia="Gill Sans MT" w:hAnsi="Gill Sans MT"/>
        </w:rPr>
        <w:t xml:space="preserve">https://doi.org/10.31004/basicedu.v6i4.3214</w:t>
      </w:r>
    </w:p>
    <w:p>
      <w:pPr>
        <w:spacing w:after="120" w:line="240" w:lineRule="auto"/>
        <w:ind w:left="360" w:hanging="360"/>
        <w:jc w:val="left"/>
      </w:pPr>
      <w:r>
        <w:rPr>
          <w:rFonts w:ascii="Gill Sans MT" w:cs="Gill Sans MT" w:eastAsia="Gill Sans MT" w:hAnsi="Gill Sans MT"/>
        </w:rPr>
        <w:t xml:space="preserve">Borusilaban, L. J. A., &amp; Harsiwi, N. E. (2023). Analisis faktor penghambat membaca permulaan siswa kelas I. </w:t>
      </w:r>
      <w:r>
        <w:rPr>
          <w:rFonts w:ascii="Gill Sans MT" w:cs="Gill Sans MT" w:eastAsia="Gill Sans MT" w:hAnsi="Gill Sans MT"/>
          <w:i/>
          <w:iCs/>
        </w:rPr>
        <w:t xml:space="preserve">Jurnal Basicedu, 7</w:t>
      </w:r>
      <w:r>
        <w:rPr>
          <w:rFonts w:ascii="Gill Sans MT" w:cs="Gill Sans MT" w:eastAsia="Gill Sans MT" w:hAnsi="Gill Sans MT"/>
        </w:rPr>
        <w:t xml:space="preserve">(4), 2502–2509. </w:t>
      </w:r>
      <w:r>
        <w:rPr>
          <w:rFonts w:ascii="Gill Sans MT" w:cs="Gill Sans MT" w:eastAsia="Gill Sans MT" w:hAnsi="Gill Sans MT"/>
        </w:rPr>
        <w:t xml:space="preserve">https://doi.org/10.31004/basicedu.v7i4.6014</w:t>
      </w:r>
    </w:p>
    <w:p>
      <w:pPr>
        <w:spacing w:after="120" w:line="240" w:lineRule="auto"/>
        <w:ind w:left="360" w:hanging="360"/>
        <w:jc w:val="left"/>
      </w:pPr>
      <w:r>
        <w:rPr>
          <w:rFonts w:ascii="Gill Sans MT" w:cs="Gill Sans MT" w:eastAsia="Gill Sans MT" w:hAnsi="Gill Sans MT"/>
        </w:rPr>
        <w:t xml:space="preserve">Chall, J. S. (1983). </w:t>
      </w:r>
      <w:r>
        <w:rPr>
          <w:rFonts w:ascii="Gill Sans MT" w:cs="Gill Sans MT" w:eastAsia="Gill Sans MT" w:hAnsi="Gill Sans MT"/>
          <w:i/>
          <w:iCs/>
        </w:rPr>
        <w:t xml:space="preserve">Stages of reading development</w:t>
      </w:r>
      <w:r>
        <w:rPr>
          <w:rFonts w:ascii="Gill Sans MT" w:cs="Gill Sans MT" w:eastAsia="Gill Sans MT" w:hAnsi="Gill Sans MT"/>
        </w:rPr>
        <w:t xml:space="preserve">. McGraw-Hill.</w:t>
      </w:r>
    </w:p>
    <w:p>
      <w:pPr>
        <w:spacing w:after="120" w:line="240" w:lineRule="auto"/>
        <w:ind w:left="360" w:hanging="360"/>
        <w:jc w:val="left"/>
      </w:pPr>
      <w:r>
        <w:rPr>
          <w:rFonts w:ascii="Gill Sans MT" w:cs="Gill Sans MT" w:eastAsia="Gill Sans MT" w:hAnsi="Gill Sans MT"/>
        </w:rPr>
        <w:t xml:space="preserve">Creswell, J. W., &amp; Poth, C. N. (2018). </w:t>
      </w:r>
      <w:r>
        <w:rPr>
          <w:rFonts w:ascii="Gill Sans MT" w:cs="Gill Sans MT" w:eastAsia="Gill Sans MT" w:hAnsi="Gill Sans MT"/>
          <w:i/>
          <w:iCs/>
        </w:rPr>
        <w:t xml:space="preserve">Qualitative inquiry and research design: Choosing among five approaches</w:t>
      </w:r>
      <w:r>
        <w:rPr>
          <w:rFonts w:ascii="Gill Sans MT" w:cs="Gill Sans MT" w:eastAsia="Gill Sans MT" w:hAnsi="Gill Sans MT"/>
        </w:rPr>
        <w:t xml:space="preserve"> (4th ed.). SAGE Publications.</w:t>
      </w:r>
    </w:p>
    <w:p>
      <w:pPr>
        <w:spacing w:after="120" w:line="240" w:lineRule="auto"/>
        <w:ind w:left="360" w:hanging="360"/>
        <w:jc w:val="left"/>
      </w:pPr>
      <w:r>
        <w:rPr>
          <w:rFonts w:ascii="Gill Sans MT" w:cs="Gill Sans MT" w:eastAsia="Gill Sans MT" w:hAnsi="Gill Sans MT"/>
        </w:rPr>
        <w:t xml:space="preserve">Erlina, T., &amp; Iswara, P. D. (2023). Pengembangan aplikasi berbasis Android untuk media membaca permulaan siswa kelas I sekolah dasar. </w:t>
      </w:r>
      <w:r>
        <w:rPr>
          <w:rFonts w:ascii="Gill Sans MT" w:cs="Gill Sans MT" w:eastAsia="Gill Sans MT" w:hAnsi="Gill Sans MT"/>
          <w:i/>
          <w:iCs/>
        </w:rPr>
        <w:t xml:space="preserve">Sekolah Dasar: Kajian Teori dan Praktik Pendidikan, 32</w:t>
      </w:r>
      <w:r>
        <w:rPr>
          <w:rFonts w:ascii="Gill Sans MT" w:cs="Gill Sans MT" w:eastAsia="Gill Sans MT" w:hAnsi="Gill Sans MT"/>
        </w:rPr>
        <w:t xml:space="preserve">(1), 104–118. </w:t>
      </w:r>
      <w:r>
        <w:rPr>
          <w:rFonts w:ascii="Gill Sans MT" w:cs="Gill Sans MT" w:eastAsia="Gill Sans MT" w:hAnsi="Gill Sans MT"/>
        </w:rPr>
        <w:t xml:space="preserve">https://doi.org/10.17977/um009v32i12023p104-118</w:t>
      </w:r>
    </w:p>
    <w:p>
      <w:pPr>
        <w:spacing w:after="120" w:line="240" w:lineRule="auto"/>
        <w:ind w:left="360" w:hanging="360"/>
        <w:jc w:val="left"/>
      </w:pPr>
      <w:r>
        <w:rPr>
          <w:rFonts w:ascii="Gill Sans MT" w:cs="Gill Sans MT" w:eastAsia="Gill Sans MT" w:hAnsi="Gill Sans MT"/>
        </w:rPr>
        <w:t xml:space="preserve">Eskris, Y., &amp; Koeswanti, H. D. (2022). Media pop-up book berbasis model pembelajaran APACIN meningkatkan kemampuan kefasihan membaca siswa. </w:t>
      </w:r>
      <w:r>
        <w:rPr>
          <w:rFonts w:ascii="Gill Sans MT" w:cs="Gill Sans MT" w:eastAsia="Gill Sans MT" w:hAnsi="Gill Sans MT"/>
          <w:i/>
          <w:iCs/>
        </w:rPr>
        <w:t xml:space="preserve">Mimbar PGSD Undiksha, 10</w:t>
      </w:r>
      <w:r>
        <w:rPr>
          <w:rFonts w:ascii="Gill Sans MT" w:cs="Gill Sans MT" w:eastAsia="Gill Sans MT" w:hAnsi="Gill Sans MT"/>
        </w:rPr>
        <w:t xml:space="preserve">(3), 447–454. </w:t>
      </w:r>
      <w:r>
        <w:rPr>
          <w:rFonts w:ascii="Gill Sans MT" w:cs="Gill Sans MT" w:eastAsia="Gill Sans MT" w:hAnsi="Gill Sans MT"/>
        </w:rPr>
        <w:t xml:space="preserve">https://doi.org/10.23887/jjpgsd.v10i3.49358</w:t>
      </w:r>
    </w:p>
    <w:p>
      <w:pPr>
        <w:spacing w:after="120" w:line="240" w:lineRule="auto"/>
        <w:ind w:left="360" w:hanging="360"/>
        <w:jc w:val="left"/>
      </w:pPr>
      <w:r>
        <w:rPr>
          <w:rFonts w:ascii="Gill Sans MT" w:cs="Gill Sans MT" w:eastAsia="Gill Sans MT" w:hAnsi="Gill Sans MT"/>
        </w:rPr>
        <w:t xml:space="preserve">Fadillah, A. A., &amp; Sugiharti, R. E. (2025). Upaya peningkatan keterampilan membaca permulaan melalui media roda baca dalam pembelajaran bahasa Indonesia di sekolah dasar. </w:t>
      </w:r>
      <w:r>
        <w:rPr>
          <w:rFonts w:ascii="Gill Sans MT" w:cs="Gill Sans MT" w:eastAsia="Gill Sans MT" w:hAnsi="Gill Sans MT"/>
          <w:i/>
          <w:iCs/>
        </w:rPr>
        <w:t xml:space="preserve">Didaktika: Jurnal Kependidikan, 14</w:t>
      </w:r>
      <w:r>
        <w:rPr>
          <w:rFonts w:ascii="Gill Sans MT" w:cs="Gill Sans MT" w:eastAsia="Gill Sans MT" w:hAnsi="Gill Sans MT"/>
        </w:rPr>
        <w:t xml:space="preserve">(3), 3899–3910. </w:t>
      </w:r>
      <w:r>
        <w:rPr>
          <w:rFonts w:ascii="Gill Sans MT" w:cs="Gill Sans MT" w:eastAsia="Gill Sans MT" w:hAnsi="Gill Sans MT"/>
        </w:rPr>
        <w:t xml:space="preserve">https://doi.org/10.58230/27454312.2690</w:t>
      </w:r>
    </w:p>
    <w:p>
      <w:pPr>
        <w:spacing w:after="120" w:line="240" w:lineRule="auto"/>
        <w:ind w:left="360" w:hanging="360"/>
        <w:jc w:val="left"/>
      </w:pPr>
      <w:r>
        <w:rPr>
          <w:rFonts w:ascii="Gill Sans MT" w:cs="Gill Sans MT" w:eastAsia="Gill Sans MT" w:hAnsi="Gill Sans MT"/>
        </w:rPr>
        <w:t xml:space="preserve">Fahmi, M. Q., Subroto, W. T., &amp; Suprijono, A. (2022). Analisis peran pola pengasuhan orang tua dalam perkembangan literasi siswa sekolah dasar. </w:t>
      </w:r>
      <w:r>
        <w:rPr>
          <w:rFonts w:ascii="Gill Sans MT" w:cs="Gill Sans MT" w:eastAsia="Gill Sans MT" w:hAnsi="Gill Sans MT"/>
          <w:i/>
          <w:iCs/>
        </w:rPr>
        <w:t xml:space="preserve">Jurnal Basicedu, 6</w:t>
      </w:r>
      <w:r>
        <w:rPr>
          <w:rFonts w:ascii="Gill Sans MT" w:cs="Gill Sans MT" w:eastAsia="Gill Sans MT" w:hAnsi="Gill Sans MT"/>
        </w:rPr>
        <w:t xml:space="preserve">(5), 8215–8227. </w:t>
      </w:r>
      <w:r>
        <w:rPr>
          <w:rFonts w:ascii="Gill Sans MT" w:cs="Gill Sans MT" w:eastAsia="Gill Sans MT" w:hAnsi="Gill Sans MT"/>
        </w:rPr>
        <w:t xml:space="preserve">https://doi.org/10.31004/basicedu.v6i5.3460</w:t>
      </w:r>
    </w:p>
    <w:p>
      <w:pPr>
        <w:spacing w:after="120" w:line="240" w:lineRule="auto"/>
        <w:ind w:left="360" w:hanging="360"/>
        <w:jc w:val="left"/>
      </w:pPr>
      <w:r>
        <w:rPr>
          <w:rFonts w:ascii="Gill Sans MT" w:cs="Gill Sans MT" w:eastAsia="Gill Sans MT" w:hAnsi="Gill Sans MT"/>
        </w:rPr>
        <w:t xml:space="preserve">Hasibuan, R. (2024). Penggunaan media kartu huruf untuk meningkatkan kemampuan membaca permulaan bagi siswa kelas 1 sekolah dasar. </w:t>
      </w:r>
      <w:r>
        <w:rPr>
          <w:rFonts w:ascii="Gill Sans MT" w:cs="Gill Sans MT" w:eastAsia="Gill Sans MT" w:hAnsi="Gill Sans MT"/>
          <w:i/>
          <w:iCs/>
        </w:rPr>
        <w:t xml:space="preserve">Jurnal Basicedu, 8</w:t>
      </w:r>
      <w:r>
        <w:rPr>
          <w:rFonts w:ascii="Gill Sans MT" w:cs="Gill Sans MT" w:eastAsia="Gill Sans MT" w:hAnsi="Gill Sans MT"/>
        </w:rPr>
        <w:t xml:space="preserve">(1), 373–384. </w:t>
      </w:r>
      <w:r>
        <w:rPr>
          <w:rFonts w:ascii="Gill Sans MT" w:cs="Gill Sans MT" w:eastAsia="Gill Sans MT" w:hAnsi="Gill Sans MT"/>
        </w:rPr>
        <w:t xml:space="preserve">https://doi.org/10.31004/basicedu.v8i1.7169</w:t>
      </w:r>
    </w:p>
    <w:p>
      <w:pPr>
        <w:spacing w:after="120" w:line="240" w:lineRule="auto"/>
        <w:ind w:left="360" w:hanging="360"/>
        <w:jc w:val="left"/>
      </w:pPr>
      <w:r>
        <w:rPr>
          <w:rFonts w:ascii="Gill Sans MT" w:cs="Gill Sans MT" w:eastAsia="Gill Sans MT" w:hAnsi="Gill Sans MT"/>
        </w:rPr>
        <w:t xml:space="preserve">Herlinda, R., Haifaturrahmah, H., &amp; Fujiaturrahman, S. (2025). Strategi guru dalam mengatasi kesulitan membaca pada siswa kelas 1 sekolah dasar. </w:t>
      </w:r>
      <w:r>
        <w:rPr>
          <w:rFonts w:ascii="Gill Sans MT" w:cs="Gill Sans MT" w:eastAsia="Gill Sans MT" w:hAnsi="Gill Sans MT"/>
          <w:i/>
          <w:iCs/>
        </w:rPr>
        <w:t xml:space="preserve">Jurnal Basicedu, 9</w:t>
      </w:r>
      <w:r>
        <w:rPr>
          <w:rFonts w:ascii="Gill Sans MT" w:cs="Gill Sans MT" w:eastAsia="Gill Sans MT" w:hAnsi="Gill Sans MT"/>
        </w:rPr>
        <w:t xml:space="preserve">(6), 1912–1919. </w:t>
      </w:r>
      <w:r>
        <w:rPr>
          <w:rFonts w:ascii="Gill Sans MT" w:cs="Gill Sans MT" w:eastAsia="Gill Sans MT" w:hAnsi="Gill Sans MT"/>
        </w:rPr>
        <w:t xml:space="preserve">https://doi.org/10.31004/basicedu.v9i6.10780</w:t>
      </w:r>
    </w:p>
    <w:p>
      <w:pPr>
        <w:spacing w:after="120" w:line="240" w:lineRule="auto"/>
        <w:ind w:left="360" w:hanging="360"/>
        <w:jc w:val="left"/>
      </w:pPr>
      <w:r>
        <w:rPr>
          <w:rFonts w:ascii="Gill Sans MT" w:cs="Gill Sans MT" w:eastAsia="Gill Sans MT" w:hAnsi="Gill Sans MT"/>
        </w:rPr>
        <w:t xml:space="preserve">Hidayah, O. N., &amp; Fathoni, A. (2022). Keefektifan model pendampingan bedah kalimat dalam mengatasi kesulitan membaca permulaan kelas 1 sekolah dasar. </w:t>
      </w:r>
      <w:r>
        <w:rPr>
          <w:rFonts w:ascii="Gill Sans MT" w:cs="Gill Sans MT" w:eastAsia="Gill Sans MT" w:hAnsi="Gill Sans MT"/>
          <w:i/>
          <w:iCs/>
        </w:rPr>
        <w:t xml:space="preserve">Jurnal Basicedu, 6</w:t>
      </w:r>
      <w:r>
        <w:rPr>
          <w:rFonts w:ascii="Gill Sans MT" w:cs="Gill Sans MT" w:eastAsia="Gill Sans MT" w:hAnsi="Gill Sans MT"/>
        </w:rPr>
        <w:t xml:space="preserve">(3), 5044–5051. </w:t>
      </w:r>
      <w:r>
        <w:rPr>
          <w:rFonts w:ascii="Gill Sans MT" w:cs="Gill Sans MT" w:eastAsia="Gill Sans MT" w:hAnsi="Gill Sans MT"/>
        </w:rPr>
        <w:t xml:space="preserve">https://doi.org/10.31004/basicedu.v6i3.3015</w:t>
      </w:r>
    </w:p>
    <w:p>
      <w:pPr>
        <w:spacing w:after="120" w:line="240" w:lineRule="auto"/>
        <w:ind w:left="360" w:hanging="360"/>
        <w:jc w:val="left"/>
      </w:pPr>
      <w:r>
        <w:rPr>
          <w:rFonts w:ascii="Gill Sans MT" w:cs="Gill Sans MT" w:eastAsia="Gill Sans MT" w:hAnsi="Gill Sans MT"/>
        </w:rPr>
        <w:t xml:space="preserve">Khairurrazikin, K., &amp; Yuliawati, F. (2023). Analisis kesulitan belajar membaca pada anak kelas III sekolah dasar. </w:t>
      </w:r>
      <w:r>
        <w:rPr>
          <w:rFonts w:ascii="Gill Sans MT" w:cs="Gill Sans MT" w:eastAsia="Gill Sans MT" w:hAnsi="Gill Sans MT"/>
          <w:i/>
          <w:iCs/>
        </w:rPr>
        <w:t xml:space="preserve">Sekolah Dasar: Kajian Teori dan Praktik Pendidikan, 32</w:t>
      </w:r>
      <w:r>
        <w:rPr>
          <w:rFonts w:ascii="Gill Sans MT" w:cs="Gill Sans MT" w:eastAsia="Gill Sans MT" w:hAnsi="Gill Sans MT"/>
        </w:rPr>
        <w:t xml:space="preserve">(2), 130–139. </w:t>
      </w:r>
      <w:r>
        <w:rPr>
          <w:rFonts w:ascii="Gill Sans MT" w:cs="Gill Sans MT" w:eastAsia="Gill Sans MT" w:hAnsi="Gill Sans MT"/>
        </w:rPr>
        <w:t xml:space="preserve">https://doi.org/10.17977/um009v32i22023p130-139</w:t>
      </w:r>
    </w:p>
    <w:p>
      <w:pPr>
        <w:spacing w:after="120" w:line="240" w:lineRule="auto"/>
        <w:ind w:left="360" w:hanging="360"/>
        <w:jc w:val="left"/>
      </w:pPr>
      <w:r>
        <w:rPr>
          <w:rFonts w:ascii="Gill Sans MT" w:cs="Gill Sans MT" w:eastAsia="Gill Sans MT" w:hAnsi="Gill Sans MT"/>
        </w:rPr>
        <w:t xml:space="preserve">Lestari, L., &amp; Ramadan, Z. H. (2024). Faktor penyebab kesulitan membaca dan dampaknya terhadap proses pembelajaran siswa kelas II sekolah dasar. </w:t>
      </w:r>
      <w:r>
        <w:rPr>
          <w:rFonts w:ascii="Gill Sans MT" w:cs="Gill Sans MT" w:eastAsia="Gill Sans MT" w:hAnsi="Gill Sans MT"/>
          <w:i/>
          <w:iCs/>
        </w:rPr>
        <w:t xml:space="preserve">Didaktika: Jurnal Kependidikan, 13</w:t>
      </w:r>
      <w:r>
        <w:rPr>
          <w:rFonts w:ascii="Gill Sans MT" w:cs="Gill Sans MT" w:eastAsia="Gill Sans MT" w:hAnsi="Gill Sans MT"/>
        </w:rPr>
        <w:t xml:space="preserve">(1), 113–124. </w:t>
      </w:r>
      <w:r>
        <w:rPr>
          <w:rFonts w:ascii="Gill Sans MT" w:cs="Gill Sans MT" w:eastAsia="Gill Sans MT" w:hAnsi="Gill Sans MT"/>
        </w:rPr>
        <w:t xml:space="preserve">https://doi.org/10.58230/27454312.1553</w:t>
      </w:r>
    </w:p>
    <w:p>
      <w:pPr>
        <w:spacing w:after="120" w:line="240" w:lineRule="auto"/>
        <w:ind w:left="360" w:hanging="360"/>
        <w:jc w:val="left"/>
      </w:pPr>
      <w:r>
        <w:rPr>
          <w:rFonts w:ascii="Gill Sans MT" w:cs="Gill Sans MT" w:eastAsia="Gill Sans MT" w:hAnsi="Gill Sans MT"/>
        </w:rPr>
        <w:t xml:space="preserve">Lu'lu'a, K., Luthfiana, L., Widodo, S. T., Wahyuni, N. I., &amp; Khusna, D. S. (2023). Strategi mengatasi kesulitan membaca pada pelajaran Pancasila siswa kelas 1 menggunakan media papan pintar Pancasila. </w:t>
      </w:r>
      <w:r>
        <w:rPr>
          <w:rFonts w:ascii="Gill Sans MT" w:cs="Gill Sans MT" w:eastAsia="Gill Sans MT" w:hAnsi="Gill Sans MT"/>
          <w:i/>
          <w:iCs/>
        </w:rPr>
        <w:t xml:space="preserve">Jurnal Basicedu, 7</w:t>
      </w:r>
      <w:r>
        <w:rPr>
          <w:rFonts w:ascii="Gill Sans MT" w:cs="Gill Sans MT" w:eastAsia="Gill Sans MT" w:hAnsi="Gill Sans MT"/>
        </w:rPr>
        <w:t xml:space="preserve">(6), 3913–3922. </w:t>
      </w:r>
      <w:r>
        <w:rPr>
          <w:rFonts w:ascii="Gill Sans MT" w:cs="Gill Sans MT" w:eastAsia="Gill Sans MT" w:hAnsi="Gill Sans MT"/>
        </w:rPr>
        <w:t xml:space="preserve">https://doi.org/10.31004/basicedu.v7i6.6405</w:t>
      </w:r>
    </w:p>
    <w:p>
      <w:pPr>
        <w:spacing w:after="120" w:line="240" w:lineRule="auto"/>
        <w:ind w:left="360" w:hanging="360"/>
        <w:jc w:val="left"/>
      </w:pPr>
      <w:r>
        <w:rPr>
          <w:rFonts w:ascii="Gill Sans MT" w:cs="Gill Sans MT" w:eastAsia="Gill Sans MT" w:hAnsi="Gill Sans MT"/>
        </w:rPr>
        <w:t xml:space="preserve">Maharani, N. P. L., Ganing, N. N., &amp; Kristiantari, M. G. R. (2023). Media big book: Solusi meningkatkan kemampuan membaca permulaan siswa kelas II sekolah dasar. </w:t>
      </w:r>
      <w:r>
        <w:rPr>
          <w:rFonts w:ascii="Gill Sans MT" w:cs="Gill Sans MT" w:eastAsia="Gill Sans MT" w:hAnsi="Gill Sans MT"/>
          <w:i/>
          <w:iCs/>
        </w:rPr>
        <w:t xml:space="preserve">Mimbar PGSD Undiksha, 11</w:t>
      </w:r>
      <w:r>
        <w:rPr>
          <w:rFonts w:ascii="Gill Sans MT" w:cs="Gill Sans MT" w:eastAsia="Gill Sans MT" w:hAnsi="Gill Sans MT"/>
        </w:rPr>
        <w:t xml:space="preserve">(1), 56–63. </w:t>
      </w:r>
      <w:r>
        <w:rPr>
          <w:rFonts w:ascii="Gill Sans MT" w:cs="Gill Sans MT" w:eastAsia="Gill Sans MT" w:hAnsi="Gill Sans MT"/>
        </w:rPr>
        <w:t xml:space="preserve">https://doi.org/10.23887/jjpgsd.v11i1.58055</w:t>
      </w:r>
    </w:p>
    <w:p>
      <w:pPr>
        <w:spacing w:after="120" w:line="240" w:lineRule="auto"/>
        <w:ind w:left="360" w:hanging="360"/>
        <w:jc w:val="left"/>
      </w:pPr>
      <w:r>
        <w:rPr>
          <w:rFonts w:ascii="Gill Sans MT" w:cs="Gill Sans MT" w:eastAsia="Gill Sans MT" w:hAnsi="Gill Sans MT"/>
        </w:rPr>
        <w:t xml:space="preserve">Mayasari, D. P., &amp; Fathoni, A. (2024). Penerapan strategi reading aloud dalam menumbuhkan minat membaca siswa di sekolah dasar. </w:t>
      </w:r>
      <w:r>
        <w:rPr>
          <w:rFonts w:ascii="Gill Sans MT" w:cs="Gill Sans MT" w:eastAsia="Gill Sans MT" w:hAnsi="Gill Sans MT"/>
          <w:i/>
          <w:iCs/>
        </w:rPr>
        <w:t xml:space="preserve">Didaktika: Jurnal Kependidikan, 13</w:t>
      </w:r>
      <w:r>
        <w:rPr>
          <w:rFonts w:ascii="Gill Sans MT" w:cs="Gill Sans MT" w:eastAsia="Gill Sans MT" w:hAnsi="Gill Sans MT"/>
        </w:rPr>
        <w:t xml:space="preserve">(1), 803–812. </w:t>
      </w:r>
      <w:r>
        <w:rPr>
          <w:rFonts w:ascii="Gill Sans MT" w:cs="Gill Sans MT" w:eastAsia="Gill Sans MT" w:hAnsi="Gill Sans MT"/>
        </w:rPr>
        <w:t xml:space="preserve">https://doi.org/10.58230/27454312.362</w:t>
      </w:r>
    </w:p>
    <w:p>
      <w:pPr>
        <w:spacing w:after="120" w:line="240" w:lineRule="auto"/>
        <w:ind w:left="360" w:hanging="360"/>
        <w:jc w:val="left"/>
      </w:pPr>
      <w:r>
        <w:rPr>
          <w:rFonts w:ascii="Gill Sans MT" w:cs="Gill Sans MT" w:eastAsia="Gill Sans MT" w:hAnsi="Gill Sans MT"/>
        </w:rPr>
        <w:t xml:space="preserve">Miles, M. B., Huberman, A. M., &amp; Saldaña, J. (2014). </w:t>
      </w:r>
      <w:r>
        <w:rPr>
          <w:rFonts w:ascii="Gill Sans MT" w:cs="Gill Sans MT" w:eastAsia="Gill Sans MT" w:hAnsi="Gill Sans MT"/>
          <w:i/>
          <w:iCs/>
        </w:rPr>
        <w:t xml:space="preserve">Qualitative data analysis: A methods sourcebook</w:t>
      </w:r>
      <w:r>
        <w:rPr>
          <w:rFonts w:ascii="Gill Sans MT" w:cs="Gill Sans MT" w:eastAsia="Gill Sans MT" w:hAnsi="Gill Sans MT"/>
        </w:rPr>
        <w:t xml:space="preserve"> (3rd ed.). SAGE Publications.</w:t>
      </w:r>
    </w:p>
    <w:p>
      <w:pPr>
        <w:spacing w:after="120" w:line="240" w:lineRule="auto"/>
        <w:ind w:left="360" w:hanging="360"/>
        <w:jc w:val="left"/>
      </w:pPr>
      <w:r>
        <w:rPr>
          <w:rFonts w:ascii="Gill Sans MT" w:cs="Gill Sans MT" w:eastAsia="Gill Sans MT" w:hAnsi="Gill Sans MT"/>
        </w:rPr>
        <w:t xml:space="preserve">Noveliana, J., &amp; Ghani, A. R. (2022). Literasi membaca dan dampaknya terhadap hasil belajar bahasa Indonesia siswa sekolah dasar. </w:t>
      </w:r>
      <w:r>
        <w:rPr>
          <w:rFonts w:ascii="Gill Sans MT" w:cs="Gill Sans MT" w:eastAsia="Gill Sans MT" w:hAnsi="Gill Sans MT"/>
          <w:i/>
          <w:iCs/>
        </w:rPr>
        <w:t xml:space="preserve">Mimbar PGSD Undiksha, 10</w:t>
      </w:r>
      <w:r>
        <w:rPr>
          <w:rFonts w:ascii="Gill Sans MT" w:cs="Gill Sans MT" w:eastAsia="Gill Sans MT" w:hAnsi="Gill Sans MT"/>
        </w:rPr>
        <w:t xml:space="preserve">(3), 469–475. </w:t>
      </w:r>
      <w:r>
        <w:rPr>
          <w:rFonts w:ascii="Gill Sans MT" w:cs="Gill Sans MT" w:eastAsia="Gill Sans MT" w:hAnsi="Gill Sans MT"/>
        </w:rPr>
        <w:t xml:space="preserve">https://doi.org/10.23887/jjpgsd.v10i3.50750</w:t>
      </w:r>
    </w:p>
    <w:p>
      <w:pPr>
        <w:spacing w:after="120" w:line="240" w:lineRule="auto"/>
        <w:ind w:left="360" w:hanging="360"/>
        <w:jc w:val="left"/>
      </w:pPr>
      <w:r>
        <w:rPr>
          <w:rFonts w:ascii="Gill Sans MT" w:cs="Gill Sans MT" w:eastAsia="Gill Sans MT" w:hAnsi="Gill Sans MT"/>
        </w:rPr>
        <w:t xml:space="preserve">Nurani, R. Z., Nugraha, F., &amp; Mahendra, H. H. (2021). Analisis kesulitan membaca permulaan pada anak usia sekolah dasar. </w:t>
      </w:r>
      <w:r>
        <w:rPr>
          <w:rFonts w:ascii="Gill Sans MT" w:cs="Gill Sans MT" w:eastAsia="Gill Sans MT" w:hAnsi="Gill Sans MT"/>
          <w:i/>
          <w:iCs/>
        </w:rPr>
        <w:t xml:space="preserve">Jurnal Basicedu, 5</w:t>
      </w:r>
      <w:r>
        <w:rPr>
          <w:rFonts w:ascii="Gill Sans MT" w:cs="Gill Sans MT" w:eastAsia="Gill Sans MT" w:hAnsi="Gill Sans MT"/>
        </w:rPr>
        <w:t xml:space="preserve">(3), 1462–1470. </w:t>
      </w:r>
      <w:r>
        <w:rPr>
          <w:rFonts w:ascii="Gill Sans MT" w:cs="Gill Sans MT" w:eastAsia="Gill Sans MT" w:hAnsi="Gill Sans MT"/>
        </w:rPr>
        <w:t xml:space="preserve">https://doi.org/10.31004/basicedu.v5i3.907</w:t>
      </w:r>
    </w:p>
    <w:p>
      <w:pPr>
        <w:spacing w:after="120" w:line="240" w:lineRule="auto"/>
        <w:ind w:left="360" w:hanging="360"/>
        <w:jc w:val="left"/>
      </w:pPr>
      <w:r>
        <w:rPr>
          <w:rFonts w:ascii="Gill Sans MT" w:cs="Gill Sans MT" w:eastAsia="Gill Sans MT" w:hAnsi="Gill Sans MT"/>
        </w:rPr>
        <w:t xml:space="preserve">Prayogo, J. F. A., &amp; Citrawati, T. (2023). Analisis bentuk kesulitan membaca permulaan pada siswa kelas rendah sekolah dasar. </w:t>
      </w:r>
      <w:r>
        <w:rPr>
          <w:rFonts w:ascii="Gill Sans MT" w:cs="Gill Sans MT" w:eastAsia="Gill Sans MT" w:hAnsi="Gill Sans MT"/>
          <w:i/>
          <w:iCs/>
        </w:rPr>
        <w:t xml:space="preserve">Jurnal Basicedu, 7</w:t>
      </w:r>
      <w:r>
        <w:rPr>
          <w:rFonts w:ascii="Gill Sans MT" w:cs="Gill Sans MT" w:eastAsia="Gill Sans MT" w:hAnsi="Gill Sans MT"/>
        </w:rPr>
        <w:t xml:space="preserve">(4), 2510–2520. </w:t>
      </w:r>
      <w:r>
        <w:rPr>
          <w:rFonts w:ascii="Gill Sans MT" w:cs="Gill Sans MT" w:eastAsia="Gill Sans MT" w:hAnsi="Gill Sans MT"/>
        </w:rPr>
        <w:t xml:space="preserve">https://doi.org/10.31004/basicedu.v7i4.6021</w:t>
      </w:r>
    </w:p>
    <w:p>
      <w:pPr>
        <w:spacing w:after="120" w:line="240" w:lineRule="auto"/>
        <w:ind w:left="360" w:hanging="360"/>
        <w:jc w:val="left"/>
      </w:pPr>
      <w:r>
        <w:rPr>
          <w:rFonts w:ascii="Gill Sans MT" w:cs="Gill Sans MT" w:eastAsia="Gill Sans MT" w:hAnsi="Gill Sans MT"/>
        </w:rPr>
        <w:t xml:space="preserve">Primasari, I. F. N. D., &amp; Supena, A. (2021). Meningkatkan kemampuan membaca siswa disleksia dengan metode multisensori di sekolah dasar. </w:t>
      </w:r>
      <w:r>
        <w:rPr>
          <w:rFonts w:ascii="Gill Sans MT" w:cs="Gill Sans MT" w:eastAsia="Gill Sans MT" w:hAnsi="Gill Sans MT"/>
          <w:i/>
          <w:iCs/>
        </w:rPr>
        <w:t xml:space="preserve">Jurnal Basicedu, 5</w:t>
      </w:r>
      <w:r>
        <w:rPr>
          <w:rFonts w:ascii="Gill Sans MT" w:cs="Gill Sans MT" w:eastAsia="Gill Sans MT" w:hAnsi="Gill Sans MT"/>
        </w:rPr>
        <w:t xml:space="preserve">(4), 1799–1808. </w:t>
      </w:r>
      <w:r>
        <w:rPr>
          <w:rFonts w:ascii="Gill Sans MT" w:cs="Gill Sans MT" w:eastAsia="Gill Sans MT" w:hAnsi="Gill Sans MT"/>
        </w:rPr>
        <w:t xml:space="preserve">https://doi.org/10.31004/basicedu.v5i4.1055</w:t>
      </w:r>
    </w:p>
    <w:p>
      <w:pPr>
        <w:spacing w:after="120" w:line="240" w:lineRule="auto"/>
        <w:ind w:left="360" w:hanging="360"/>
        <w:jc w:val="left"/>
      </w:pPr>
      <w:r>
        <w:rPr>
          <w:rFonts w:ascii="Gill Sans MT" w:cs="Gill Sans MT" w:eastAsia="Gill Sans MT" w:hAnsi="Gill Sans MT"/>
        </w:rPr>
        <w:t xml:space="preserve">Puteri, A., Ferdiansyah, M., &amp; Murjainah, M. (2022). Media komik proklamasi untuk kemampuan membaca pemahaman siswa SD. </w:t>
      </w:r>
      <w:r>
        <w:rPr>
          <w:rFonts w:ascii="Gill Sans MT" w:cs="Gill Sans MT" w:eastAsia="Gill Sans MT" w:hAnsi="Gill Sans MT"/>
          <w:i/>
          <w:iCs/>
        </w:rPr>
        <w:t xml:space="preserve">Mimbar PGSD Undiksha, 10</w:t>
      </w:r>
      <w:r>
        <w:rPr>
          <w:rFonts w:ascii="Gill Sans MT" w:cs="Gill Sans MT" w:eastAsia="Gill Sans MT" w:hAnsi="Gill Sans MT"/>
        </w:rPr>
        <w:t xml:space="preserve">(1), 46–53. </w:t>
      </w:r>
      <w:r>
        <w:rPr>
          <w:rFonts w:ascii="Gill Sans MT" w:cs="Gill Sans MT" w:eastAsia="Gill Sans MT" w:hAnsi="Gill Sans MT"/>
        </w:rPr>
        <w:t xml:space="preserve">https://doi.org/10.23887/jjpgsd.v10i1.41070</w:t>
      </w:r>
    </w:p>
    <w:p>
      <w:pPr>
        <w:spacing w:after="120" w:line="240" w:lineRule="auto"/>
        <w:ind w:left="360" w:hanging="360"/>
        <w:jc w:val="left"/>
      </w:pPr>
      <w:r>
        <w:rPr>
          <w:rFonts w:ascii="Gill Sans MT" w:cs="Gill Sans MT" w:eastAsia="Gill Sans MT" w:hAnsi="Gill Sans MT"/>
        </w:rPr>
        <w:t xml:space="preserve">Rohman, Y. A., Rahman, R., &amp; Damayanti, V. S. (2022). Analisis kesulitan membaca permulaan pada siswa kelas satu di sekolah dasar. </w:t>
      </w:r>
      <w:r>
        <w:rPr>
          <w:rFonts w:ascii="Gill Sans MT" w:cs="Gill Sans MT" w:eastAsia="Gill Sans MT" w:hAnsi="Gill Sans MT"/>
          <w:i/>
          <w:iCs/>
        </w:rPr>
        <w:t xml:space="preserve">Jurnal Basicedu, 6</w:t>
      </w:r>
      <w:r>
        <w:rPr>
          <w:rFonts w:ascii="Gill Sans MT" w:cs="Gill Sans MT" w:eastAsia="Gill Sans MT" w:hAnsi="Gill Sans MT"/>
        </w:rPr>
        <w:t xml:space="preserve">(3), 5388–5396. </w:t>
      </w:r>
      <w:r>
        <w:rPr>
          <w:rFonts w:ascii="Gill Sans MT" w:cs="Gill Sans MT" w:eastAsia="Gill Sans MT" w:hAnsi="Gill Sans MT"/>
        </w:rPr>
        <w:t xml:space="preserve">https://doi.org/10.31004/basicedu.v6i3.2946</w:t>
      </w:r>
    </w:p>
    <w:p>
      <w:pPr>
        <w:spacing w:after="120" w:line="240" w:lineRule="auto"/>
        <w:ind w:left="360" w:hanging="360"/>
        <w:jc w:val="left"/>
      </w:pPr>
      <w:r>
        <w:rPr>
          <w:rFonts w:ascii="Gill Sans MT" w:cs="Gill Sans MT" w:eastAsia="Gill Sans MT" w:hAnsi="Gill Sans MT"/>
        </w:rPr>
        <w:t xml:space="preserve">Safarida, R. S., Sutisnawati, A., &amp; Uswatun, D. A. (2022). Analisis kesulitan membaca siswa pada pembelajaran tematik sekolah dasar. </w:t>
      </w:r>
      <w:r>
        <w:rPr>
          <w:rFonts w:ascii="Gill Sans MT" w:cs="Gill Sans MT" w:eastAsia="Gill Sans MT" w:hAnsi="Gill Sans MT"/>
          <w:i/>
          <w:iCs/>
        </w:rPr>
        <w:t xml:space="preserve">Jurnal Basicedu, 6</w:t>
      </w:r>
      <w:r>
        <w:rPr>
          <w:rFonts w:ascii="Gill Sans MT" w:cs="Gill Sans MT" w:eastAsia="Gill Sans MT" w:hAnsi="Gill Sans MT"/>
        </w:rPr>
        <w:t xml:space="preserve">(4), 7466–7473. </w:t>
      </w:r>
      <w:r>
        <w:rPr>
          <w:rFonts w:ascii="Gill Sans MT" w:cs="Gill Sans MT" w:eastAsia="Gill Sans MT" w:hAnsi="Gill Sans MT"/>
        </w:rPr>
        <w:t xml:space="preserve">https://doi.org/10.31004/basicedu.v6i4.3469</w:t>
      </w:r>
    </w:p>
    <w:p>
      <w:pPr>
        <w:spacing w:after="120" w:line="240" w:lineRule="auto"/>
        <w:ind w:left="360" w:hanging="360"/>
        <w:jc w:val="left"/>
      </w:pPr>
      <w:r>
        <w:rPr>
          <w:rFonts w:ascii="Gill Sans MT" w:cs="Gill Sans MT" w:eastAsia="Gill Sans MT" w:hAnsi="Gill Sans MT"/>
        </w:rPr>
        <w:t xml:space="preserve">Safitri, D., Yuliawati, F., &amp; Khoirinimah, S. M. (2024). Analisis kesulitan membaca dengan penghilangan dan penambahan huruf pada siswa kelas IV sekolah dasar. </w:t>
      </w:r>
      <w:r>
        <w:rPr>
          <w:rFonts w:ascii="Gill Sans MT" w:cs="Gill Sans MT" w:eastAsia="Gill Sans MT" w:hAnsi="Gill Sans MT"/>
          <w:i/>
          <w:iCs/>
        </w:rPr>
        <w:t xml:space="preserve">Jurnal Basicedu, 8</w:t>
      </w:r>
      <w:r>
        <w:rPr>
          <w:rFonts w:ascii="Gill Sans MT" w:cs="Gill Sans MT" w:eastAsia="Gill Sans MT" w:hAnsi="Gill Sans MT"/>
        </w:rPr>
        <w:t xml:space="preserve">(4), 2542–2553. </w:t>
      </w:r>
      <w:r>
        <w:rPr>
          <w:rFonts w:ascii="Gill Sans MT" w:cs="Gill Sans MT" w:eastAsia="Gill Sans MT" w:hAnsi="Gill Sans MT"/>
        </w:rPr>
        <w:t xml:space="preserve">https://doi.org/10.31004/basicedu.v8i4.7772</w:t>
      </w:r>
    </w:p>
    <w:p>
      <w:pPr>
        <w:spacing w:after="120" w:line="240" w:lineRule="auto"/>
        <w:ind w:left="360" w:hanging="360"/>
        <w:jc w:val="left"/>
      </w:pPr>
      <w:r>
        <w:rPr>
          <w:rFonts w:ascii="Gill Sans MT" w:cs="Gill Sans MT" w:eastAsia="Gill Sans MT" w:hAnsi="Gill Sans MT"/>
        </w:rPr>
        <w:t xml:space="preserve">Sari, H. M., Uswatun, D. A., Amalia, A. R., Mariam, S., &amp; Yohana, E. (2022). Peningkatan keterampilan membaca permulaan siswa melalui kartu kata berbasis wayang sukuraga. </w:t>
      </w:r>
      <w:r>
        <w:rPr>
          <w:rFonts w:ascii="Gill Sans MT" w:cs="Gill Sans MT" w:eastAsia="Gill Sans MT" w:hAnsi="Gill Sans MT"/>
          <w:i/>
          <w:iCs/>
        </w:rPr>
        <w:t xml:space="preserve">Jurnal Basicedu, 6</w:t>
      </w:r>
      <w:r>
        <w:rPr>
          <w:rFonts w:ascii="Gill Sans MT" w:cs="Gill Sans MT" w:eastAsia="Gill Sans MT" w:hAnsi="Gill Sans MT"/>
        </w:rPr>
        <w:t xml:space="preserve">(5), 7707–7715. </w:t>
      </w:r>
      <w:r>
        <w:rPr>
          <w:rFonts w:ascii="Gill Sans MT" w:cs="Gill Sans MT" w:eastAsia="Gill Sans MT" w:hAnsi="Gill Sans MT"/>
        </w:rPr>
        <w:t xml:space="preserve">https://doi.org/10.31004/basicedu.v6i5.3557</w:t>
      </w:r>
    </w:p>
    <w:p>
      <w:pPr>
        <w:spacing w:after="120" w:line="240" w:lineRule="auto"/>
        <w:ind w:left="360" w:hanging="360"/>
        <w:jc w:val="left"/>
      </w:pPr>
      <w:r>
        <w:rPr>
          <w:rFonts w:ascii="Gill Sans MT" w:cs="Gill Sans MT" w:eastAsia="Gill Sans MT" w:hAnsi="Gill Sans MT"/>
        </w:rPr>
        <w:t xml:space="preserve">Sugiyono. (2021). </w:t>
      </w:r>
      <w:r>
        <w:rPr>
          <w:rFonts w:ascii="Gill Sans MT" w:cs="Gill Sans MT" w:eastAsia="Gill Sans MT" w:hAnsi="Gill Sans MT"/>
          <w:i/>
          <w:iCs/>
        </w:rPr>
        <w:t xml:space="preserve">Metode penelitian kualitatif</w:t>
      </w:r>
      <w:r>
        <w:rPr>
          <w:rFonts w:ascii="Gill Sans MT" w:cs="Gill Sans MT" w:eastAsia="Gill Sans MT" w:hAnsi="Gill Sans MT"/>
        </w:rPr>
        <w:t xml:space="preserve">. Alfabeta.</w:t>
      </w:r>
    </w:p>
    <w:p>
      <w:pPr>
        <w:spacing w:after="120" w:line="240" w:lineRule="auto"/>
        <w:ind w:left="360" w:hanging="360"/>
        <w:jc w:val="left"/>
      </w:pPr>
      <w:r>
        <w:rPr>
          <w:rFonts w:ascii="Gill Sans MT" w:cs="Gill Sans MT" w:eastAsia="Gill Sans MT" w:hAnsi="Gill Sans MT"/>
        </w:rPr>
        <w:t xml:space="preserve">Sunarti, S., Linarsih, A., Amalia, A., Ali, M., &amp; Miranda, D. (2022). Pelaksanaan pembelajaran membaca permulaan bahasa Inggris melalui metode phonics pada anak taman kanak-kanak. </w:t>
      </w:r>
      <w:r>
        <w:rPr>
          <w:rFonts w:ascii="Gill Sans MT" w:cs="Gill Sans MT" w:eastAsia="Gill Sans MT" w:hAnsi="Gill Sans MT"/>
          <w:i/>
          <w:iCs/>
        </w:rPr>
        <w:t xml:space="preserve">Jurnal Basicedu, 6</w:t>
      </w:r>
      <w:r>
        <w:rPr>
          <w:rFonts w:ascii="Gill Sans MT" w:cs="Gill Sans MT" w:eastAsia="Gill Sans MT" w:hAnsi="Gill Sans MT"/>
        </w:rPr>
        <w:t xml:space="preserve">(6), 9525–9534. </w:t>
      </w:r>
      <w:r>
        <w:rPr>
          <w:rFonts w:ascii="Gill Sans MT" w:cs="Gill Sans MT" w:eastAsia="Gill Sans MT" w:hAnsi="Gill Sans MT"/>
        </w:rPr>
        <w:t xml:space="preserve">https://doi.org/10.31004/basicedu.v6i6.4134</w:t>
      </w:r>
    </w:p>
    <w:p>
      <w:pPr>
        <w:spacing w:after="120" w:line="240" w:lineRule="auto"/>
        <w:ind w:left="360" w:hanging="360"/>
        <w:jc w:val="left"/>
      </w:pPr>
      <w:r>
        <w:rPr>
          <w:rFonts w:ascii="Gill Sans MT" w:cs="Gill Sans MT" w:eastAsia="Gill Sans MT" w:hAnsi="Gill Sans MT"/>
        </w:rPr>
        <w:t xml:space="preserve">Umami, N. S., &amp; Dafit, F. (2024). Pengaruh media kartu kata terhadap kemampuan membaca siswa kelas 1 sekolah dasar. </w:t>
      </w:r>
      <w:r>
        <w:rPr>
          <w:rFonts w:ascii="Gill Sans MT" w:cs="Gill Sans MT" w:eastAsia="Gill Sans MT" w:hAnsi="Gill Sans MT"/>
          <w:i/>
          <w:iCs/>
        </w:rPr>
        <w:t xml:space="preserve">Didaktika: Jurnal Kependidikan, 13</w:t>
      </w:r>
      <w:r>
        <w:rPr>
          <w:rFonts w:ascii="Gill Sans MT" w:cs="Gill Sans MT" w:eastAsia="Gill Sans MT" w:hAnsi="Gill Sans MT"/>
        </w:rPr>
        <w:t xml:space="preserve">(1), 779–790. </w:t>
      </w:r>
      <w:r>
        <w:rPr>
          <w:rFonts w:ascii="Gill Sans MT" w:cs="Gill Sans MT" w:eastAsia="Gill Sans MT" w:hAnsi="Gill Sans MT"/>
        </w:rPr>
        <w:t xml:space="preserve">https://doi.org/10.58230/27454312.517</w:t>
      </w:r>
    </w:p>
    <w:p>
      <w:pPr>
        <w:spacing w:after="120" w:line="240" w:lineRule="auto"/>
        <w:ind w:left="360" w:hanging="360"/>
        <w:jc w:val="left"/>
      </w:pPr>
      <w:r>
        <w:rPr>
          <w:rFonts w:ascii="Gill Sans MT" w:cs="Gill Sans MT" w:eastAsia="Gill Sans MT" w:hAnsi="Gill Sans MT"/>
        </w:rPr>
        <w:t xml:space="preserve">Wildaniaty, I. D. (2024). Implementasi gerakan literasi sekolah dalam membentuk keterampilan membaca permulaan siswa kelas I SD. </w:t>
      </w:r>
      <w:r>
        <w:rPr>
          <w:rFonts w:ascii="Gill Sans MT" w:cs="Gill Sans MT" w:eastAsia="Gill Sans MT" w:hAnsi="Gill Sans MT"/>
          <w:i/>
          <w:iCs/>
        </w:rPr>
        <w:t xml:space="preserve">Jurnal Basicedu, 8</w:t>
      </w:r>
      <w:r>
        <w:rPr>
          <w:rFonts w:ascii="Gill Sans MT" w:cs="Gill Sans MT" w:eastAsia="Gill Sans MT" w:hAnsi="Gill Sans MT"/>
        </w:rPr>
        <w:t xml:space="preserve">(4), 2620–2629. </w:t>
      </w:r>
      <w:r>
        <w:rPr>
          <w:rFonts w:ascii="Gill Sans MT" w:cs="Gill Sans MT" w:eastAsia="Gill Sans MT" w:hAnsi="Gill Sans MT"/>
        </w:rPr>
        <w:t xml:space="preserve">https://doi.org/10.31004/basicedu.v8i4.8162</w:t>
      </w:r>
    </w:p>
    <w:sectPr>
      <w:type w:val="continuous"/>
      <w:pgSz w:w="11906" w:h="16838" w:orient="portrait"/>
      <w:pgMar w:top="1417" w:right="850" w:bottom="1417" w:left="850" w:header="708" w:footer="708" w:gutter="0"/>
      <w:pgNumType/>
      <w:cols w:space="284" w:num="2" w:sep="false" w:equalWidth="tru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60"/>
      <w:jc w:val="center"/>
    </w:pPr>
    <w:r>
      <w:rPr>
        <w:rFonts w:ascii="Gill Sans MT" w:cs="Gill Sans MT" w:eastAsia="Gill Sans MT" w:hAnsi="Gill Sans MT"/>
        <w:sz w:val="16"/>
        <w:szCs w:val="16"/>
      </w:rPr>
      <w:t xml:space="preserve">ISSN: XXX.XXX, e-ISSN: XXX.XXX</w:t>
    </w:r>
  </w:p>
  <w:p>
    <w:pPr>
      <w:jc w:val="center"/>
    </w:pPr>
    <w:r>
      <w:rPr>
        <w:rFonts w:ascii="Gill Sans MT" w:cs="Gill Sans MT" w:eastAsia="Gill Sans MT" w:hAnsi="Gill Sans MT"/>
        <w:sz w:val="16"/>
        <w:szCs w:val="16"/>
      </w:rPr>
      <w:t xml:space="preserve">https://journal.umpr.ac.id/index.php/jppp</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60"/>
      <w:jc w:val="center"/>
    </w:pPr>
    <w:r>
      <w:rPr>
        <w:rFonts w:ascii="Gill Sans MT" w:cs="Gill Sans MT" w:eastAsia="Gill Sans MT" w:hAnsi="Gill Sans MT"/>
        <w:sz w:val="16"/>
        <w:szCs w:val="16"/>
      </w:rPr>
      <w:t xml:space="preserve">ISSN: XXX.XXX, e-ISSN: XXX.XXX</w:t>
    </w:r>
  </w:p>
  <w:p>
    <w:pPr>
      <w:jc w:val="center"/>
    </w:pPr>
    <w:r>
      <w:rPr>
        <w:rFonts w:ascii="Gill Sans MT" w:cs="Gill Sans MT" w:eastAsia="Gill Sans MT" w:hAnsi="Gill Sans MT"/>
        <w:sz w:val="16"/>
        <w:szCs w:val="16"/>
      </w:rPr>
      <w:t xml:space="preserve">https://journal.umpr.ac.id/index.php/jppp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left"/>
    </w:pPr>
    <w:r>
      <w:rPr>
        <w:rFonts w:ascii="Gill Sans MT" w:cs="Gill Sans MT" w:eastAsia="Gill Sans MT" w:hAnsi="Gill Sans MT"/>
        <w:sz w:val="18"/>
        <w:szCs w:val="18"/>
      </w:rPr>
      <w:fldChar w:fldCharType="begin"/>
      <w:instrText xml:space="preserve">PAGE</w:instrText>
      <w:fldChar w:fldCharType="separate"/>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ill Sans MT" w:cs="Gill Sans MT" w:eastAsia="Gill Sans MT" w:hAnsi="Gill Sans MT"/>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ea2c446893284abf6a47c20fd626105093ed9e51.jpg"/><Relationship Id="rId12" Type="http://schemas.openxmlformats.org/officeDocument/2006/relationships/image" Target="media/c7309c4df346d4153f7cfbda8310dd3ea5f9d18b.jpg"/><Relationship Id="rId13" Type="http://schemas.openxmlformats.org/officeDocument/2006/relationships/image" Target="media/a13b9b9aa2391eb03c3c910ec68eb579ec19b8ea.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Kesulitan Membaca pada Siswa: Studi Kasus Kualitatif Siswa Kelas III</dc:title>
  <dc:creator>Penulis</dc:creator>
  <cp:lastModifiedBy>Un-named</cp:lastModifiedBy>
  <cp:revision>1</cp:revision>
  <dcterms:created xsi:type="dcterms:W3CDTF">2026-08-25T08:05:46.250Z</dcterms:created>
  <dcterms:modified xsi:type="dcterms:W3CDTF">2026-08-25T08:05:46.250Z</dcterms:modified>
</cp:coreProperties>
</file>

<file path=docProps/custom.xml><?xml version="1.0" encoding="utf-8"?>
<Properties xmlns="http://schemas.openxmlformats.org/officeDocument/2006/custom-properties" xmlns:vt="http://schemas.openxmlformats.org/officeDocument/2006/docPropsVTypes"/>
</file>